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西藏自治区钢筋混凝土用钢产品质量监督抽查实施细则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本细则适用于西藏自治区市场监督管理局组织的钢筋混凝土用钢产品质量监督抽查检验（不包含网络电商平台抽样）。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 钢筋混凝土用热轧带肋钢筋</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可分为普通热轧带肋钢筋和细晶粒热轧带肋钢筋2种。</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2.2 钢筋混凝土用热轧光圆钢筋</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下列术语和定义适用于本细则。</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 普通热轧带肋钢筋</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按热轧状态交货的钢筋。其金相组织主要是铁素体加珠光体，不得有影响使用性能的其他组织存在。横截面通常为圆形，且表面带肋的混凝土结构用钢材。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 细晶粒热轧带肋钢筋</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在热轧过程中，通过控轧和控冷工艺形成的细晶粒钢筋。其金相组织主要是铁素体加珠光体，不得有影响使用性能的其他组织存在，晶粒度不粗于9级。横截面通常为圆形，且表面带肋的混凝土结构用钢材。</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3.3 钢筋混凝土用热轧光圆钢筋</w:t>
      </w:r>
    </w:p>
    <w:p>
      <w:pPr>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经热轧成型，横截面通常为圆形，表面光滑的成品钢筋。</w:t>
      </w:r>
    </w:p>
    <w:p>
      <w:pPr>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1499.2-2018 钢筋混凝土用钢 第2部分：热轧带肋钢筋</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1499.1-2017 钢筋混凝土用钢 第1部分：热轧光圆钢筋</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28900-2012  钢筋混凝土用钢材试验方法</w:t>
      </w:r>
    </w:p>
    <w:p>
      <w:pPr>
        <w:keepNext w:val="0"/>
        <w:keepLines w:val="0"/>
        <w:pageBreakBefore w:val="0"/>
        <w:widowControl w:val="0"/>
        <w:kinsoku/>
        <w:wordWrap/>
        <w:overflowPunct/>
        <w:topLinePunct w:val="0"/>
        <w:autoSpaceDE/>
        <w:autoSpaceDN/>
        <w:bidi w:val="0"/>
        <w:adjustRightInd/>
        <w:spacing w:line="440" w:lineRule="exact"/>
        <w:ind w:firstLine="42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YB/T 081-2013 冶金技术标准的数值修约与检测数值的判定</w:t>
      </w:r>
    </w:p>
    <w:p>
      <w:pPr>
        <w:keepNext w:val="0"/>
        <w:keepLines w:val="0"/>
        <w:pageBreakBefore w:val="0"/>
        <w:widowControl w:val="0"/>
        <w:kinsoku/>
        <w:wordWrap/>
        <w:overflowPunct/>
        <w:topLinePunct w:val="0"/>
        <w:autoSpaceDE/>
        <w:autoSpaceDN/>
        <w:bidi w:val="0"/>
        <w:adjustRightInd/>
        <w:spacing w:line="440" w:lineRule="exact"/>
        <w:ind w:firstLine="42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随机数一般可使用随机数表、骰子或扑克牌等方法产生。</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抽取样品应为同一规格、同一批次的产品。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在企业成品库抽样时，直条热轧带肋钢筋、直条热轧光圆钢筋同一批次产品抽样基数不得少于5捆、盘卷热轧带肋钢筋、盘卷热轧光圆钢筋同一批次产品抽样基数不得少于5盘。</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在流通领域抽样时，抽样基数满足抽样数量即可。</w:t>
      </w:r>
    </w:p>
    <w:p>
      <w:pPr>
        <w:pStyle w:val="13"/>
        <w:keepNext w:val="0"/>
        <w:keepLines w:val="0"/>
        <w:pageBreakBefore w:val="0"/>
        <w:widowControl w:val="0"/>
        <w:numPr>
          <w:ilvl w:val="1"/>
          <w:numId w:val="1"/>
        </w:numPr>
        <w:kinsoku/>
        <w:wordWrap/>
        <w:overflowPunct/>
        <w:topLinePunct w:val="0"/>
        <w:autoSpaceDE/>
        <w:autoSpaceDN/>
        <w:bidi w:val="0"/>
        <w:adjustRightInd/>
        <w:spacing w:line="440" w:lineRule="exact"/>
        <w:ind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w:t>
      </w:r>
    </w:p>
    <w:p>
      <w:pPr>
        <w:pStyle w:val="13"/>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直条型式钢筋：</w:t>
      </w:r>
      <w:r>
        <w:rPr>
          <w:rFonts w:hint="default" w:ascii="Times New Roman" w:hAnsi="Times New Roman" w:eastAsia="宋体" w:cs="Times New Roman"/>
          <w:color w:val="auto"/>
          <w:sz w:val="21"/>
          <w:szCs w:val="21"/>
        </w:rPr>
        <w:t>在5捆中随机抽取1捆，</w:t>
      </w:r>
      <w:r>
        <w:rPr>
          <w:rFonts w:hint="default" w:ascii="Times New Roman" w:hAnsi="Times New Roman" w:eastAsia="宋体" w:cs="Times New Roman"/>
          <w:sz w:val="21"/>
          <w:szCs w:val="21"/>
        </w:rPr>
        <w:t>在该捆产品中随机抽取5根长度为2400mm的钢筋（对于（d≥28mm的热轧带肋钢筋取样长度为3400mm），逐根顺序编号为1-5，再把每根钢筋分成2支长度为1200mm的样品（对于d≥28mm的每根热轧带肋钢筋分成2支长度为1700mm的样品），2支样品逐支编号标记，并一一对应（如1-a，1-b），每支样品要保证有完整的表面标志，标记a的5支样品为检验样品，标记b的5支样品为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盘卷型式的钢筋：在每盘钢筋上距头或尾至少2000mm处，随机截取1根长度为2400mm的钢筋，逐根顺序编号为1-5，再把每根钢筋分成2支长度为1200mm的样品，2支样品逐支编号标记，并一一对应（如1-a，1-b）。标记a的5支样品为检验样品，标记b的5支样品为备用样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并缠绕一个标牌。检测和备用样品应分别封装，并现场</w:t>
      </w:r>
      <w:r>
        <w:rPr>
          <w:rFonts w:hint="default" w:ascii="Times New Roman" w:hAnsi="Times New Roman" w:eastAsia="宋体" w:cs="Times New Roman"/>
          <w:bCs/>
          <w:sz w:val="21"/>
          <w:szCs w:val="21"/>
        </w:rPr>
        <w:t>采用透明胶带、包装材料对样品进行缠裹，并</w:t>
      </w:r>
      <w:r>
        <w:rPr>
          <w:rFonts w:hint="default" w:ascii="Times New Roman" w:hAnsi="Times New Roman" w:eastAsia="宋体" w:cs="Times New Roman"/>
          <w:sz w:val="21"/>
          <w:szCs w:val="21"/>
        </w:rPr>
        <w:t>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热轧带肋钢筋检验项目</w:t>
      </w: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50"/>
        <w:gridCol w:w="1432"/>
        <w:gridCol w:w="3199"/>
        <w:gridCol w:w="237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648" w:hRule="atLeast"/>
          <w:jc w:val="center"/>
        </w:trPr>
        <w:tc>
          <w:tcPr>
            <w:tcW w:w="737"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737" w:type="dxa"/>
            <w:gridSpan w:val="2"/>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737"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c>
          <w:tcPr>
            <w:tcW w:w="4631" w:type="dxa"/>
            <w:gridSpan w:val="2"/>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432"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力学性能</w:t>
            </w:r>
          </w:p>
        </w:tc>
        <w:tc>
          <w:tcPr>
            <w:tcW w:w="3199"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下屈服强度</w:t>
            </w:r>
          </w:p>
        </w:tc>
        <w:tc>
          <w:tcPr>
            <w:tcW w:w="237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28900-2012</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1499.2-2018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36"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抗拉强度</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断后伸长率</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实测抗拉强度与实测下屈服强度之比</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实测下屈服强度与屈服强度特征值之比</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最大力总延伸率</w:t>
            </w:r>
            <w:r>
              <w:rPr>
                <w:rFonts w:hint="default" w:ascii="Times New Roman" w:hAnsi="Times New Roman" w:eastAsia="宋体" w:cs="Times New Roman"/>
                <w:sz w:val="21"/>
                <w:szCs w:val="21"/>
                <w:vertAlign w:val="superscript"/>
              </w:rPr>
              <w:t>c</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05" w:hRule="atLeast"/>
          <w:jc w:val="center"/>
        </w:trPr>
        <w:tc>
          <w:tcPr>
            <w:tcW w:w="85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432"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工艺性能</w:t>
            </w:r>
          </w:p>
        </w:tc>
        <w:tc>
          <w:tcPr>
            <w:tcW w:w="3199"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弯曲</w:t>
            </w:r>
          </w:p>
        </w:tc>
        <w:tc>
          <w:tcPr>
            <w:tcW w:w="237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28900-2012</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1499.2-2018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99"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反向弯曲</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89" w:hRule="atLeast"/>
          <w:jc w:val="center"/>
        </w:trPr>
        <w:tc>
          <w:tcPr>
            <w:tcW w:w="850"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4631" w:type="dxa"/>
            <w:gridSpan w:val="2"/>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重量偏差</w:t>
            </w:r>
          </w:p>
        </w:tc>
        <w:tc>
          <w:tcPr>
            <w:tcW w:w="2376"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1499.2-2018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31" w:hRule="atLeast"/>
          <w:jc w:val="center"/>
        </w:trPr>
        <w:tc>
          <w:tcPr>
            <w:tcW w:w="850"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1432"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尺寸</w:t>
            </w:r>
          </w:p>
        </w:tc>
        <w:tc>
          <w:tcPr>
            <w:tcW w:w="3199"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横肋高</w:t>
            </w:r>
          </w:p>
        </w:tc>
        <w:tc>
          <w:tcPr>
            <w:tcW w:w="2376"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1499.2-2018</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388" w:hRule="atLeast"/>
          <w:jc w:val="center"/>
        </w:trPr>
        <w:tc>
          <w:tcPr>
            <w:tcW w:w="850"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432"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199" w:type="dxa"/>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肋间距</w:t>
            </w:r>
          </w:p>
        </w:tc>
        <w:tc>
          <w:tcPr>
            <w:tcW w:w="2376"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表6.2 热轧光圆钢筋检验项目</w:t>
      </w:r>
    </w:p>
    <w:tbl>
      <w:tblPr>
        <w:tblStyle w:val="7"/>
        <w:tblW w:w="838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912"/>
        <w:gridCol w:w="1537"/>
        <w:gridCol w:w="3433"/>
        <w:gridCol w:w="250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11" w:hRule="atLeast"/>
        </w:trPr>
        <w:tc>
          <w:tcPr>
            <w:tcW w:w="912"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bookmarkStart w:id="0" w:name="_Hlk98169347"/>
            <w:r>
              <w:rPr>
                <w:rFonts w:hint="default" w:ascii="Times New Roman" w:hAnsi="Times New Roman" w:eastAsia="宋体" w:cs="Times New Roman"/>
                <w:b/>
                <w:bCs/>
                <w:sz w:val="21"/>
                <w:szCs w:val="21"/>
              </w:rPr>
              <w:t>序号</w:t>
            </w:r>
          </w:p>
        </w:tc>
        <w:tc>
          <w:tcPr>
            <w:tcW w:w="4970" w:type="dxa"/>
            <w:gridSpan w:val="2"/>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检验项目</w:t>
            </w:r>
          </w:p>
        </w:tc>
        <w:tc>
          <w:tcPr>
            <w:tcW w:w="2505" w:type="dxa"/>
            <w:vMerge w:val="restart"/>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检验方法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500" w:hRule="atLeast"/>
        </w:trPr>
        <w:tc>
          <w:tcPr>
            <w:tcW w:w="912"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c>
          <w:tcPr>
            <w:tcW w:w="4970" w:type="dxa"/>
            <w:gridSpan w:val="2"/>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c>
          <w:tcPr>
            <w:tcW w:w="2505" w:type="dxa"/>
            <w:vMerge w:val="continue"/>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b/>
                <w:bCs/>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270" w:hRule="atLeast"/>
        </w:trPr>
        <w:tc>
          <w:tcPr>
            <w:tcW w:w="912"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537"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力学性能</w:t>
            </w:r>
          </w:p>
        </w:tc>
        <w:tc>
          <w:tcPr>
            <w:tcW w:w="3433"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下屈服强度</w:t>
            </w:r>
          </w:p>
        </w:tc>
        <w:tc>
          <w:tcPr>
            <w:tcW w:w="250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28900-2012</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1499.1-2017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8" w:hRule="atLeast"/>
        </w:trPr>
        <w:tc>
          <w:tcPr>
            <w:tcW w:w="91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537"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433" w:type="dxa"/>
            <w:tcBorders>
              <w:top w:val="single" w:color="auto" w:sz="4" w:space="0"/>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抗拉强度</w:t>
            </w:r>
          </w:p>
        </w:tc>
        <w:tc>
          <w:tcPr>
            <w:tcW w:w="250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8" w:hRule="atLeast"/>
        </w:trPr>
        <w:tc>
          <w:tcPr>
            <w:tcW w:w="91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537"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433" w:type="dxa"/>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断后伸长率</w:t>
            </w:r>
          </w:p>
        </w:tc>
        <w:tc>
          <w:tcPr>
            <w:tcW w:w="250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87" w:hRule="atLeast"/>
        </w:trPr>
        <w:tc>
          <w:tcPr>
            <w:tcW w:w="912"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537" w:type="dxa"/>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工艺性能</w:t>
            </w:r>
          </w:p>
        </w:tc>
        <w:tc>
          <w:tcPr>
            <w:tcW w:w="3433" w:type="dxa"/>
            <w:tcBorders>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冷弯</w:t>
            </w:r>
          </w:p>
        </w:tc>
        <w:tc>
          <w:tcPr>
            <w:tcW w:w="2505" w:type="dxa"/>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28900-2012</w:t>
            </w:r>
          </w:p>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1499.1-2017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8" w:hRule="atLeast"/>
        </w:trPr>
        <w:tc>
          <w:tcPr>
            <w:tcW w:w="912"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4970" w:type="dxa"/>
            <w:gridSpan w:val="2"/>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vertAlign w:val="superscript"/>
              </w:rPr>
            </w:pPr>
            <w:r>
              <w:rPr>
                <w:rFonts w:hint="default" w:ascii="Times New Roman" w:hAnsi="Times New Roman" w:eastAsia="宋体" w:cs="Times New Roman"/>
                <w:sz w:val="21"/>
                <w:szCs w:val="21"/>
              </w:rPr>
              <w:t>重量偏差</w:t>
            </w:r>
          </w:p>
        </w:tc>
        <w:tc>
          <w:tcPr>
            <w:tcW w:w="2505" w:type="dxa"/>
            <w:tcBorders>
              <w:top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1499.1-2017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8" w:hRule="atLeast"/>
        </w:trPr>
        <w:tc>
          <w:tcPr>
            <w:tcW w:w="912"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1537" w:type="dxa"/>
            <w:vMerge w:val="restart"/>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尺寸</w:t>
            </w:r>
          </w:p>
        </w:tc>
        <w:tc>
          <w:tcPr>
            <w:tcW w:w="3433" w:type="dxa"/>
            <w:tcBorders>
              <w:left w:val="single" w:color="auto" w:sz="4" w:space="0"/>
              <w:bottom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直径允许偏差</w:t>
            </w:r>
          </w:p>
        </w:tc>
        <w:tc>
          <w:tcPr>
            <w:tcW w:w="2505"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1499.1-2017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498" w:hRule="atLeast"/>
        </w:trPr>
        <w:tc>
          <w:tcPr>
            <w:tcW w:w="912"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1537" w:type="dxa"/>
            <w:vMerge w:val="continue"/>
            <w:tcBorders>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c>
          <w:tcPr>
            <w:tcW w:w="3433" w:type="dxa"/>
            <w:tcBorders>
              <w:top w:val="single" w:color="auto" w:sz="4" w:space="0"/>
              <w:lef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不圆度</w:t>
            </w:r>
          </w:p>
        </w:tc>
        <w:tc>
          <w:tcPr>
            <w:tcW w:w="2505" w:type="dxa"/>
            <w:vMerge w:val="continue"/>
            <w:vAlign w:val="center"/>
          </w:tcPr>
          <w:p>
            <w:pPr>
              <w:keepNext w:val="0"/>
              <w:keepLines w:val="0"/>
              <w:pageBreakBefore w:val="0"/>
              <w:widowControl w:val="0"/>
              <w:kinsoku/>
              <w:wordWrap/>
              <w:overflowPunct/>
              <w:topLinePunct w:val="0"/>
              <w:autoSpaceDE/>
              <w:autoSpaceDN/>
              <w:bidi w:val="0"/>
              <w:adjustRightInd/>
              <w:snapToGrid w:val="0"/>
              <w:spacing w:line="440" w:lineRule="exact"/>
              <w:jc w:val="center"/>
              <w:textAlignment w:val="auto"/>
              <w:rPr>
                <w:rFonts w:hint="default" w:ascii="Times New Roman" w:hAnsi="Times New Roman" w:eastAsia="宋体" w:cs="Times New Roman"/>
                <w:sz w:val="21"/>
                <w:szCs w:val="21"/>
              </w:rPr>
            </w:pPr>
          </w:p>
        </w:tc>
      </w:tr>
      <w:bookmarkEnd w:id="0"/>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注：1.表6.1实测抗拉强度与实测下屈服强度之比、实测下屈服强度与屈服强度特征值之比、最大力总延伸率检验适用于抗震钢筋</w:t>
      </w:r>
      <w:bookmarkStart w:id="1" w:name="_GoBack"/>
      <w:bookmarkEnd w:id="1"/>
      <w:r>
        <w:rPr>
          <w:rFonts w:hint="default" w:ascii="Times New Roman" w:hAnsi="Times New Roman" w:eastAsia="宋体" w:cs="Times New Roman"/>
          <w:bCs/>
          <w:sz w:val="21"/>
          <w:szCs w:val="21"/>
        </w:rPr>
        <w:t>、反向弯曲检验适用于抗震钢筋。</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2.表6.2重量偏差仅适用于直条交货的热轧光圆钢筋。</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3.表中</w:t>
      </w:r>
      <w:r>
        <w:rPr>
          <w:rFonts w:hint="default" w:ascii="Times New Roman" w:hAnsi="Times New Roman" w:eastAsia="宋体" w:cs="Times New Roman"/>
          <w:bCs/>
          <w:sz w:val="21"/>
          <w:szCs w:val="21"/>
        </w:rPr>
        <w:t>所列检验项目是有关法律法规、标准等规定的，重点涉及健康、安全、节能、环保以及消费者、有关组织反映有质量问题的重要项目。</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4.检验方法包括相关产品标准及试验方法标准。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5.凡是注日期的文件，其随后所有的修改单（不包括勘误的内容）或修订版不适用于本细则。凡是不注日期的文件，其最新版本适用于本细则。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 xml:space="preserve">7 </w:t>
      </w:r>
      <w:r>
        <w:rPr>
          <w:rFonts w:hint="default" w:ascii="Times New Roman" w:hAnsi="Times New Roman" w:eastAsia="黑体" w:cs="Times New Roman"/>
          <w:sz w:val="21"/>
          <w:szCs w:val="21"/>
        </w:rPr>
        <w:t>判定规则</w:t>
      </w:r>
    </w:p>
    <w:p>
      <w:pPr>
        <w:pStyle w:val="13"/>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.1单项判定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1.1力学性能：每批检验样本量n=2，不合格品限定数L=0；检验两支样品的下屈服强度、抗拉强度、断后伸长率（若为抗震钢筋还需检测实测抗拉强度与实测下屈服强度之比、实测下屈服强度与屈服强度特征值之比、最大力总延伸率）指标。一支样品有任一指标不合格，判定该支样品不合格。不合格品数d小于或等于不合格品限定数L时，判定被抽查产品力学性能项目合格，反之则判定为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.1.2工艺性能:弯曲项目每批检验样本量n=2，反向弯曲项目每批检验样本量n=1，不合格品限定数L=0；不合格品数d小于或等于不合格品限定数L时，判定被抽查产品工艺性能项目合格，反之则判定为不合格。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.1.3重量偏差:每批检验样本量n=1，不合格品限定数L=0；不合格品数d小于或等于不合格品限定数L时，判定被抽查重量偏差项目合格，反之则判定为不合格。依据产品标准规定，重量偏差的n值代表1组。</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7</w:t>
      </w:r>
      <w:r>
        <w:rPr>
          <w:rFonts w:hint="default" w:ascii="Times New Roman" w:hAnsi="Times New Roman" w:eastAsia="宋体" w:cs="Times New Roman"/>
          <w:sz w:val="21"/>
          <w:szCs w:val="21"/>
        </w:rPr>
        <w:t>.1.4尺寸:每批检验样本量n=5，不合格品限定数L=1；针对热轧带肋钢筋，检验样品的横肋高、肋间距指标；针对热轧光圆钢筋，检验样品的直径、不圆度指标。一支样品尺寸有任一指标达不到标准要求，判定该支产品不合格，不合格品数d小于或等于不合格品限定数L时，判定被抽查产品尺寸项目合格，反之则判定为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val="en-US" w:eastAsia="zh-CN"/>
        </w:rPr>
        <w:t>7</w:t>
      </w:r>
      <w:r>
        <w:rPr>
          <w:rFonts w:hint="default" w:ascii="Times New Roman" w:hAnsi="Times New Roman" w:eastAsia="宋体" w:cs="Times New Roman"/>
          <w:bCs/>
          <w:sz w:val="21"/>
          <w:szCs w:val="21"/>
        </w:rPr>
        <w:t>.2综合判定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color w:val="FF0000"/>
          <w:sz w:val="21"/>
          <w:szCs w:val="21"/>
        </w:rPr>
      </w:pPr>
      <w:r>
        <w:rPr>
          <w:rFonts w:hint="default" w:ascii="Times New Roman" w:hAnsi="Times New Roman" w:eastAsia="宋体" w:cs="Times New Roman"/>
          <w:bCs/>
          <w:sz w:val="21"/>
          <w:szCs w:val="21"/>
        </w:rPr>
        <w:t>经检验，</w:t>
      </w:r>
      <w:r>
        <w:rPr>
          <w:rFonts w:hint="default" w:ascii="Times New Roman" w:hAnsi="Times New Roman" w:eastAsia="宋体" w:cs="Times New Roman"/>
          <w:sz w:val="21"/>
          <w:szCs w:val="21"/>
        </w:rPr>
        <w:t>检验项目全部合格，判定为被抽查产品合格；检验项目中任一项或一项以上不合格，判定为被抽查产品不合格。其中，当产品存在A类项目不合格时，属于严重不合格。</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8934A3"/>
    <w:multiLevelType w:val="multilevel"/>
    <w:tmpl w:val="4E8934A3"/>
    <w:lvl w:ilvl="0" w:tentative="0">
      <w:start w:val="5"/>
      <w:numFmt w:val="decimal"/>
      <w:lvlText w:val="%1"/>
      <w:lvlJc w:val="left"/>
      <w:pPr>
        <w:ind w:left="420" w:hanging="420"/>
      </w:pPr>
      <w:rPr>
        <w:rFonts w:hint="default"/>
      </w:rPr>
    </w:lvl>
    <w:lvl w:ilvl="1" w:tentative="0">
      <w:start w:val="2"/>
      <w:numFmt w:val="decimal"/>
      <w:lvlText w:val="%1.%2"/>
      <w:lvlJc w:val="left"/>
      <w:pPr>
        <w:ind w:left="720" w:hanging="72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1080" w:hanging="1080"/>
      </w:pPr>
      <w:rPr>
        <w:rFonts w:hint="default"/>
      </w:rPr>
    </w:lvl>
    <w:lvl w:ilvl="4" w:tentative="0">
      <w:start w:val="1"/>
      <w:numFmt w:val="decimal"/>
      <w:lvlText w:val="%1.%2.%3.%4.%5"/>
      <w:lvlJc w:val="left"/>
      <w:pPr>
        <w:ind w:left="1440" w:hanging="1440"/>
      </w:pPr>
      <w:rPr>
        <w:rFonts w:hint="default"/>
      </w:rPr>
    </w:lvl>
    <w:lvl w:ilvl="5" w:tentative="0">
      <w:start w:val="1"/>
      <w:numFmt w:val="decimal"/>
      <w:lvlText w:val="%1.%2.%3.%4.%5.%6"/>
      <w:lvlJc w:val="left"/>
      <w:pPr>
        <w:ind w:left="1800" w:hanging="1800"/>
      </w:pPr>
      <w:rPr>
        <w:rFonts w:hint="default"/>
      </w:rPr>
    </w:lvl>
    <w:lvl w:ilvl="6" w:tentative="0">
      <w:start w:val="1"/>
      <w:numFmt w:val="decimal"/>
      <w:lvlText w:val="%1.%2.%3.%4.%5.%6.%7"/>
      <w:lvlJc w:val="left"/>
      <w:pPr>
        <w:ind w:left="2160" w:hanging="2160"/>
      </w:pPr>
      <w:rPr>
        <w:rFonts w:hint="default"/>
      </w:rPr>
    </w:lvl>
    <w:lvl w:ilvl="7" w:tentative="0">
      <w:start w:val="1"/>
      <w:numFmt w:val="decimal"/>
      <w:lvlText w:val="%1.%2.%3.%4.%5.%6.%7.%8"/>
      <w:lvlJc w:val="left"/>
      <w:pPr>
        <w:ind w:left="2160" w:hanging="2160"/>
      </w:pPr>
      <w:rPr>
        <w:rFonts w:hint="default"/>
      </w:rPr>
    </w:lvl>
    <w:lvl w:ilvl="8" w:tentative="0">
      <w:start w:val="1"/>
      <w:numFmt w:val="decimal"/>
      <w:lvlText w:val="%1.%2.%3.%4.%5.%6.%7.%8.%9"/>
      <w:lvlJc w:val="left"/>
      <w:pPr>
        <w:ind w:left="2520" w:hanging="252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AxYjlkYjYzMDI4ZjNmZmUxZjIyM2VhMzczNzRkOGUifQ=="/>
  </w:docVars>
  <w:rsids>
    <w:rsidRoot w:val="003654F4"/>
    <w:rsid w:val="00087043"/>
    <w:rsid w:val="0013517D"/>
    <w:rsid w:val="0013565E"/>
    <w:rsid w:val="001428CF"/>
    <w:rsid w:val="001D6F9C"/>
    <w:rsid w:val="002D2A41"/>
    <w:rsid w:val="0030457B"/>
    <w:rsid w:val="003256EE"/>
    <w:rsid w:val="003469A2"/>
    <w:rsid w:val="003654F4"/>
    <w:rsid w:val="0039651C"/>
    <w:rsid w:val="003C2A21"/>
    <w:rsid w:val="003C759A"/>
    <w:rsid w:val="00424C58"/>
    <w:rsid w:val="004512AC"/>
    <w:rsid w:val="004727C8"/>
    <w:rsid w:val="00496E6D"/>
    <w:rsid w:val="00540518"/>
    <w:rsid w:val="00561DE1"/>
    <w:rsid w:val="005652A8"/>
    <w:rsid w:val="005702EA"/>
    <w:rsid w:val="005A0EE4"/>
    <w:rsid w:val="00615FA3"/>
    <w:rsid w:val="006E4692"/>
    <w:rsid w:val="00703F2E"/>
    <w:rsid w:val="007078F9"/>
    <w:rsid w:val="0077419D"/>
    <w:rsid w:val="00782303"/>
    <w:rsid w:val="007E72F9"/>
    <w:rsid w:val="007F7E23"/>
    <w:rsid w:val="00800B3E"/>
    <w:rsid w:val="008022B1"/>
    <w:rsid w:val="00834A61"/>
    <w:rsid w:val="008411A0"/>
    <w:rsid w:val="008D3D9D"/>
    <w:rsid w:val="0093057C"/>
    <w:rsid w:val="00966BDF"/>
    <w:rsid w:val="009C744D"/>
    <w:rsid w:val="009D1DEA"/>
    <w:rsid w:val="009E5901"/>
    <w:rsid w:val="009F30B9"/>
    <w:rsid w:val="00A52611"/>
    <w:rsid w:val="00A67C29"/>
    <w:rsid w:val="00A9406C"/>
    <w:rsid w:val="00B55330"/>
    <w:rsid w:val="00B9118D"/>
    <w:rsid w:val="00C31699"/>
    <w:rsid w:val="00C77C78"/>
    <w:rsid w:val="00CB3A23"/>
    <w:rsid w:val="00D01592"/>
    <w:rsid w:val="00D17657"/>
    <w:rsid w:val="00D32EC4"/>
    <w:rsid w:val="00D45361"/>
    <w:rsid w:val="00D50B12"/>
    <w:rsid w:val="00D93D36"/>
    <w:rsid w:val="00DF1DBE"/>
    <w:rsid w:val="00EC25B9"/>
    <w:rsid w:val="00F968A9"/>
    <w:rsid w:val="020E601F"/>
    <w:rsid w:val="03092820"/>
    <w:rsid w:val="03B60BF9"/>
    <w:rsid w:val="04BA0D70"/>
    <w:rsid w:val="04C42EA2"/>
    <w:rsid w:val="04D83B6A"/>
    <w:rsid w:val="055C0FAB"/>
    <w:rsid w:val="07391925"/>
    <w:rsid w:val="09D35BF6"/>
    <w:rsid w:val="0A577EA6"/>
    <w:rsid w:val="0AFE344A"/>
    <w:rsid w:val="0C6531BD"/>
    <w:rsid w:val="0C7F12F7"/>
    <w:rsid w:val="0CCF38FF"/>
    <w:rsid w:val="0DEE56BA"/>
    <w:rsid w:val="0FE31B58"/>
    <w:rsid w:val="103709CC"/>
    <w:rsid w:val="1037379A"/>
    <w:rsid w:val="106E264D"/>
    <w:rsid w:val="10912C84"/>
    <w:rsid w:val="115A63CB"/>
    <w:rsid w:val="118A13C5"/>
    <w:rsid w:val="11BA57FF"/>
    <w:rsid w:val="120237D7"/>
    <w:rsid w:val="13AC4B87"/>
    <w:rsid w:val="15C2502C"/>
    <w:rsid w:val="16E66CA8"/>
    <w:rsid w:val="1ADE6BE3"/>
    <w:rsid w:val="1C2F094C"/>
    <w:rsid w:val="1C98639D"/>
    <w:rsid w:val="1EFF4DAB"/>
    <w:rsid w:val="20CC7DDB"/>
    <w:rsid w:val="21860B62"/>
    <w:rsid w:val="21D44790"/>
    <w:rsid w:val="23C02279"/>
    <w:rsid w:val="25796649"/>
    <w:rsid w:val="26884536"/>
    <w:rsid w:val="293B1047"/>
    <w:rsid w:val="2A2658E2"/>
    <w:rsid w:val="2DC810BF"/>
    <w:rsid w:val="2DDE357F"/>
    <w:rsid w:val="2F5514A4"/>
    <w:rsid w:val="321B1AA4"/>
    <w:rsid w:val="321B766A"/>
    <w:rsid w:val="321D1044"/>
    <w:rsid w:val="32997EC6"/>
    <w:rsid w:val="33F85587"/>
    <w:rsid w:val="341B4A8C"/>
    <w:rsid w:val="35126805"/>
    <w:rsid w:val="35352E7D"/>
    <w:rsid w:val="36DF1167"/>
    <w:rsid w:val="3B037579"/>
    <w:rsid w:val="3B2F036E"/>
    <w:rsid w:val="3B4A51A8"/>
    <w:rsid w:val="3C482015"/>
    <w:rsid w:val="3CF61143"/>
    <w:rsid w:val="3CF74EBC"/>
    <w:rsid w:val="3D18555E"/>
    <w:rsid w:val="3D211F38"/>
    <w:rsid w:val="3D7E1C21"/>
    <w:rsid w:val="3FC87482"/>
    <w:rsid w:val="408C5260"/>
    <w:rsid w:val="43BE1B82"/>
    <w:rsid w:val="43E010AB"/>
    <w:rsid w:val="452A328D"/>
    <w:rsid w:val="486A7600"/>
    <w:rsid w:val="488937B4"/>
    <w:rsid w:val="4A1E1CDA"/>
    <w:rsid w:val="4ADD3943"/>
    <w:rsid w:val="4B097BF2"/>
    <w:rsid w:val="4E1F1EAC"/>
    <w:rsid w:val="4ED6366F"/>
    <w:rsid w:val="4EF31987"/>
    <w:rsid w:val="506A1724"/>
    <w:rsid w:val="518C7E71"/>
    <w:rsid w:val="521E3CEB"/>
    <w:rsid w:val="53240614"/>
    <w:rsid w:val="54696247"/>
    <w:rsid w:val="549B217C"/>
    <w:rsid w:val="54E029AD"/>
    <w:rsid w:val="5A23076E"/>
    <w:rsid w:val="5B3648CE"/>
    <w:rsid w:val="5B7D11B9"/>
    <w:rsid w:val="61842912"/>
    <w:rsid w:val="62E018F9"/>
    <w:rsid w:val="64DB373E"/>
    <w:rsid w:val="650C50F9"/>
    <w:rsid w:val="66487045"/>
    <w:rsid w:val="667A42E4"/>
    <w:rsid w:val="66867883"/>
    <w:rsid w:val="66B54875"/>
    <w:rsid w:val="698E2580"/>
    <w:rsid w:val="69B1626F"/>
    <w:rsid w:val="6A9E5F94"/>
    <w:rsid w:val="6B4D2A2F"/>
    <w:rsid w:val="6CA721E1"/>
    <w:rsid w:val="6CE87DC7"/>
    <w:rsid w:val="6D4274C8"/>
    <w:rsid w:val="6D445FFE"/>
    <w:rsid w:val="6EBA3E17"/>
    <w:rsid w:val="6EDE4C39"/>
    <w:rsid w:val="6EF07839"/>
    <w:rsid w:val="6F40431D"/>
    <w:rsid w:val="708A2EF1"/>
    <w:rsid w:val="70CF59C3"/>
    <w:rsid w:val="72B27B5F"/>
    <w:rsid w:val="73240BF1"/>
    <w:rsid w:val="737E4439"/>
    <w:rsid w:val="73B92623"/>
    <w:rsid w:val="749B7A5D"/>
    <w:rsid w:val="75014A1B"/>
    <w:rsid w:val="76F140CA"/>
    <w:rsid w:val="772462D2"/>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rPr>
  </w:style>
  <w:style w:type="paragraph" w:styleId="3">
    <w:name w:val="Body Text Indent"/>
    <w:basedOn w:val="1"/>
    <w:link w:val="12"/>
    <w:qFormat/>
    <w:uiPriority w:val="0"/>
    <w:pPr>
      <w:spacing w:after="120"/>
      <w:ind w:left="420" w:leftChars="200"/>
    </w:pPr>
  </w:style>
  <w:style w:type="paragraph" w:styleId="4">
    <w:name w:val="Plain Text"/>
    <w:basedOn w:val="1"/>
    <w:link w:val="14"/>
    <w:qFormat/>
    <w:uiPriority w:val="0"/>
    <w:rPr>
      <w:rFonts w:hAnsi="Courier New" w:cs="Courier New" w:asciiTheme="minorEastAsia"/>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0"/>
    <w:rPr>
      <w:rFonts w:asciiTheme="minorHAnsi" w:hAnsiTheme="minorHAnsi" w:eastAsiaTheme="minorEastAsia" w:cstheme="minorBidi"/>
      <w:kern w:val="2"/>
      <w:sz w:val="18"/>
      <w:szCs w:val="18"/>
    </w:rPr>
  </w:style>
  <w:style w:type="character" w:customStyle="1" w:styleId="11">
    <w:name w:val="页脚 字符"/>
    <w:basedOn w:val="9"/>
    <w:link w:val="5"/>
    <w:qFormat/>
    <w:uiPriority w:val="0"/>
    <w:rPr>
      <w:rFonts w:asciiTheme="minorHAnsi" w:hAnsiTheme="minorHAnsi" w:eastAsiaTheme="minorEastAsia" w:cstheme="minorBidi"/>
      <w:kern w:val="2"/>
      <w:sz w:val="18"/>
      <w:szCs w:val="18"/>
    </w:rPr>
  </w:style>
  <w:style w:type="character" w:customStyle="1" w:styleId="12">
    <w:name w:val="正文文本缩进 字符"/>
    <w:basedOn w:val="9"/>
    <w:link w:val="3"/>
    <w:qFormat/>
    <w:uiPriority w:val="0"/>
    <w:rPr>
      <w:rFonts w:asciiTheme="minorHAnsi" w:hAnsiTheme="minorHAnsi" w:eastAsiaTheme="minorEastAsia" w:cstheme="minorBidi"/>
      <w:kern w:val="2"/>
      <w:sz w:val="21"/>
      <w:szCs w:val="24"/>
    </w:rPr>
  </w:style>
  <w:style w:type="paragraph" w:styleId="13">
    <w:name w:val="List Paragraph"/>
    <w:basedOn w:val="1"/>
    <w:qFormat/>
    <w:uiPriority w:val="99"/>
    <w:pPr>
      <w:ind w:firstLine="420" w:firstLineChars="200"/>
    </w:pPr>
  </w:style>
  <w:style w:type="character" w:customStyle="1" w:styleId="14">
    <w:name w:val="纯文本 字符"/>
    <w:basedOn w:val="9"/>
    <w:link w:val="4"/>
    <w:qFormat/>
    <w:uiPriority w:val="0"/>
    <w:rPr>
      <w:rFonts w:hAnsi="Courier New" w:cs="Courier New" w:asciiTheme="minorEastAsia" w:eastAsiaTheme="minorEastAsia"/>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48C974-20F9-42A8-93A5-77C567B2227A}">
  <ds:schemaRefs/>
</ds:datastoreItem>
</file>

<file path=docProps/app.xml><?xml version="1.0" encoding="utf-8"?>
<Properties xmlns="http://schemas.openxmlformats.org/officeDocument/2006/extended-properties" xmlns:vt="http://schemas.openxmlformats.org/officeDocument/2006/docPropsVTypes">
  <Template>Normal</Template>
  <Pages>5</Pages>
  <Words>2510</Words>
  <Characters>2836</Characters>
  <Lines>22</Lines>
  <Paragraphs>6</Paragraphs>
  <TotalTime>6</TotalTime>
  <ScaleCrop>false</ScaleCrop>
  <LinksUpToDate>false</LinksUpToDate>
  <CharactersWithSpaces>2888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2022-05-12T08:29:17Z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1250C97BC33E47AC9002D671E34E9F18</vt:lpwstr>
  </property>
</Properties>
</file>