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Times New Roman" w:hAnsi="Times New Roman" w:eastAsia="方正小标宋简体" w:cs="Times New Roman"/>
          <w:sz w:val="32"/>
          <w:szCs w:val="32"/>
        </w:rPr>
      </w:pPr>
      <w:r>
        <w:rPr>
          <w:rFonts w:hint="default" w:ascii="Times New Roman" w:hAnsi="Times New Roman" w:eastAsia="方正小标宋简体" w:cs="Times New Roman"/>
          <w:sz w:val="32"/>
          <w:szCs w:val="32"/>
        </w:rPr>
        <w:t>西藏自治区羽绒被产品质量监督抽查实施细则</w:t>
      </w:r>
    </w:p>
    <w:p>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Times New Roman" w:hAnsi="Times New Roman" w:eastAsia="方正小标宋简体" w:cs="Times New Roman"/>
          <w:color w:val="000000"/>
          <w:sz w:val="32"/>
          <w:szCs w:val="32"/>
        </w:rPr>
      </w:pPr>
      <w:r>
        <w:rPr>
          <w:rFonts w:hint="default" w:ascii="Times New Roman" w:hAnsi="Times New Roman" w:eastAsia="方正小标宋简体" w:cs="Times New Roman"/>
          <w:color w:val="000000"/>
          <w:sz w:val="32"/>
          <w:szCs w:val="32"/>
        </w:rPr>
        <w:t>（202</w:t>
      </w:r>
      <w:r>
        <w:rPr>
          <w:rFonts w:hint="default" w:ascii="Times New Roman" w:hAnsi="Times New Roman" w:eastAsia="方正小标宋简体" w:cs="Times New Roman"/>
          <w:color w:val="000000"/>
          <w:sz w:val="32"/>
          <w:szCs w:val="32"/>
          <w:lang w:val="en-US" w:eastAsia="zh-CN"/>
        </w:rPr>
        <w:t>2</w:t>
      </w:r>
      <w:r>
        <w:rPr>
          <w:rFonts w:hint="default" w:ascii="Times New Roman" w:hAnsi="Times New Roman" w:eastAsia="方正小标宋简体" w:cs="Times New Roman"/>
          <w:color w:val="000000"/>
          <w:sz w:val="32"/>
          <w:szCs w:val="32"/>
        </w:rPr>
        <w:t>年版）</w:t>
      </w:r>
    </w:p>
    <w:p>
      <w:pPr>
        <w:pStyle w:val="2"/>
        <w:keepNext w:val="0"/>
        <w:keepLines w:val="0"/>
        <w:pageBreakBefore w:val="0"/>
        <w:widowControl w:val="0"/>
        <w:kinsoku/>
        <w:wordWrap/>
        <w:overflowPunct/>
        <w:topLinePunct w:val="0"/>
        <w:autoSpaceDE/>
        <w:autoSpaceDN/>
        <w:bidi w:val="0"/>
        <w:adjustRightInd/>
        <w:spacing w:line="440" w:lineRule="exact"/>
        <w:textAlignment w:val="auto"/>
        <w:rPr>
          <w:rFonts w:hint="default" w:ascii="Times New Roman" w:hAnsi="Times New Roman" w:eastAsia="宋体" w:cs="Times New Roman"/>
          <w:sz w:val="21"/>
          <w:szCs w:val="21"/>
        </w:rPr>
      </w:pPr>
    </w:p>
    <w:p>
      <w:pPr>
        <w:keepNext w:val="0"/>
        <w:keepLines w:val="0"/>
        <w:pageBreakBefore w:val="0"/>
        <w:widowControl w:val="0"/>
        <w:kinsoku/>
        <w:wordWrap/>
        <w:overflowPunct/>
        <w:topLinePunct w:val="0"/>
        <w:autoSpaceDE/>
        <w:autoSpaceDN/>
        <w:bidi w:val="0"/>
        <w:adjustRightInd/>
        <w:spacing w:line="440" w:lineRule="exact"/>
        <w:textAlignment w:val="auto"/>
        <w:rPr>
          <w:rFonts w:hint="default" w:ascii="Times New Roman" w:hAnsi="Times New Roman" w:eastAsia="黑体" w:cs="Times New Roman"/>
          <w:sz w:val="21"/>
          <w:szCs w:val="21"/>
        </w:rPr>
      </w:pPr>
      <w:r>
        <w:rPr>
          <w:rFonts w:hint="default" w:ascii="Times New Roman" w:hAnsi="Times New Roman" w:eastAsia="黑体" w:cs="Times New Roman"/>
          <w:sz w:val="21"/>
          <w:szCs w:val="21"/>
        </w:rPr>
        <w:t>1 范围</w:t>
      </w:r>
    </w:p>
    <w:p>
      <w:pPr>
        <w:keepNext w:val="0"/>
        <w:keepLines w:val="0"/>
        <w:pageBreakBefore w:val="0"/>
        <w:widowControl w:val="0"/>
        <w:kinsoku/>
        <w:wordWrap/>
        <w:overflowPunct/>
        <w:topLinePunct w:val="0"/>
        <w:autoSpaceDE/>
        <w:autoSpaceDN/>
        <w:bidi w:val="0"/>
        <w:adjustRightInd/>
        <w:spacing w:line="440" w:lineRule="exact"/>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本细则适用于西藏自治区市场监督管理局组织的羽绒被产品质量监督抽查检验（不包含网络电商平台抽样）。</w:t>
      </w:r>
      <w:bookmarkStart w:id="0" w:name="_GoBack"/>
      <w:bookmarkEnd w:id="0"/>
    </w:p>
    <w:p>
      <w:pPr>
        <w:keepNext w:val="0"/>
        <w:keepLines w:val="0"/>
        <w:pageBreakBefore w:val="0"/>
        <w:widowControl w:val="0"/>
        <w:kinsoku/>
        <w:wordWrap/>
        <w:overflowPunct/>
        <w:topLinePunct w:val="0"/>
        <w:autoSpaceDE/>
        <w:autoSpaceDN/>
        <w:bidi w:val="0"/>
        <w:adjustRightInd/>
        <w:spacing w:line="440" w:lineRule="exact"/>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本细则内容包括产品种类、术语和定义、检验依据、抽样要求、检验要求、判定规则、异议处理及附则。</w:t>
      </w:r>
    </w:p>
    <w:p>
      <w:pPr>
        <w:pStyle w:val="2"/>
        <w:rPr>
          <w:rFonts w:hint="default" w:ascii="Times New Roman" w:hAnsi="Times New Roman" w:cs="Times New Roman"/>
        </w:rPr>
      </w:pPr>
    </w:p>
    <w:p>
      <w:pPr>
        <w:keepNext w:val="0"/>
        <w:keepLines w:val="0"/>
        <w:pageBreakBefore w:val="0"/>
        <w:widowControl w:val="0"/>
        <w:kinsoku/>
        <w:wordWrap/>
        <w:overflowPunct/>
        <w:topLinePunct w:val="0"/>
        <w:autoSpaceDE/>
        <w:autoSpaceDN/>
        <w:bidi w:val="0"/>
        <w:adjustRightInd/>
        <w:spacing w:line="440" w:lineRule="exact"/>
        <w:textAlignment w:val="auto"/>
        <w:rPr>
          <w:rFonts w:hint="default" w:ascii="Times New Roman" w:hAnsi="Times New Roman" w:eastAsia="黑体" w:cs="Times New Roman"/>
          <w:sz w:val="21"/>
          <w:szCs w:val="21"/>
        </w:rPr>
      </w:pPr>
      <w:r>
        <w:rPr>
          <w:rFonts w:hint="default" w:ascii="Times New Roman" w:hAnsi="Times New Roman" w:eastAsia="黑体" w:cs="Times New Roman"/>
          <w:sz w:val="21"/>
          <w:szCs w:val="21"/>
        </w:rPr>
        <w:t>2 产品种类</w:t>
      </w:r>
    </w:p>
    <w:p>
      <w:pPr>
        <w:keepNext w:val="0"/>
        <w:keepLines w:val="0"/>
        <w:pageBreakBefore w:val="0"/>
        <w:widowControl w:val="0"/>
        <w:kinsoku/>
        <w:wordWrap/>
        <w:overflowPunct/>
        <w:topLinePunct w:val="0"/>
        <w:autoSpaceDE/>
        <w:autoSpaceDN/>
        <w:bidi w:val="0"/>
        <w:adjustRightInd/>
        <w:snapToGrid w:val="0"/>
        <w:spacing w:line="440" w:lineRule="exact"/>
        <w:ind w:firstLine="210" w:firstLineChars="1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2.1</w:t>
      </w:r>
      <w:r>
        <w:rPr>
          <w:rFonts w:hint="default" w:ascii="Times New Roman" w:hAnsi="Times New Roman" w:eastAsia="宋体" w:cs="Times New Roman"/>
          <w:sz w:val="21"/>
          <w:szCs w:val="21"/>
        </w:rPr>
        <w:t>羽绒被</w:t>
      </w:r>
      <w:r>
        <w:rPr>
          <w:rFonts w:hint="default" w:ascii="Times New Roman" w:hAnsi="Times New Roman" w:eastAsia="宋体" w:cs="Times New Roman"/>
          <w:sz w:val="21"/>
          <w:szCs w:val="21"/>
          <w:lang w:eastAsia="zh-CN"/>
        </w:rPr>
        <w:t>（不包含婴幼儿及儿童产品）</w:t>
      </w:r>
      <w:r>
        <w:rPr>
          <w:rFonts w:hint="default" w:ascii="Times New Roman" w:hAnsi="Times New Roman" w:eastAsia="宋体" w:cs="Times New Roman"/>
          <w:sz w:val="21"/>
          <w:szCs w:val="21"/>
        </w:rPr>
        <w:t>。</w:t>
      </w:r>
    </w:p>
    <w:p>
      <w:pPr>
        <w:pStyle w:val="2"/>
        <w:rPr>
          <w:rFonts w:hint="default" w:ascii="Times New Roman" w:hAnsi="Times New Roman" w:cs="Times New Roman"/>
        </w:rPr>
      </w:pPr>
    </w:p>
    <w:p>
      <w:pPr>
        <w:keepNext w:val="0"/>
        <w:keepLines w:val="0"/>
        <w:pageBreakBefore w:val="0"/>
        <w:widowControl w:val="0"/>
        <w:kinsoku/>
        <w:wordWrap/>
        <w:overflowPunct/>
        <w:topLinePunct w:val="0"/>
        <w:autoSpaceDE/>
        <w:autoSpaceDN/>
        <w:bidi w:val="0"/>
        <w:adjustRightInd/>
        <w:spacing w:line="440" w:lineRule="exact"/>
        <w:textAlignment w:val="auto"/>
        <w:rPr>
          <w:rFonts w:hint="default" w:ascii="Times New Roman" w:hAnsi="Times New Roman" w:eastAsia="黑体" w:cs="Times New Roman"/>
          <w:sz w:val="21"/>
          <w:szCs w:val="21"/>
        </w:rPr>
      </w:pPr>
      <w:r>
        <w:rPr>
          <w:rFonts w:hint="default" w:ascii="Times New Roman" w:hAnsi="Times New Roman" w:eastAsia="黑体" w:cs="Times New Roman"/>
          <w:sz w:val="21"/>
          <w:szCs w:val="21"/>
        </w:rPr>
        <w:t>3 术语和定义</w:t>
      </w:r>
    </w:p>
    <w:p>
      <w:pPr>
        <w:keepNext w:val="0"/>
        <w:keepLines w:val="0"/>
        <w:pageBreakBefore w:val="0"/>
        <w:widowControl w:val="0"/>
        <w:kinsoku/>
        <w:wordWrap/>
        <w:overflowPunct/>
        <w:topLinePunct w:val="0"/>
        <w:autoSpaceDE/>
        <w:autoSpaceDN/>
        <w:bidi w:val="0"/>
        <w:adjustRightInd/>
        <w:spacing w:line="440" w:lineRule="exact"/>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本细则中未列出的术语和定义同相关引用标准。</w:t>
      </w:r>
    </w:p>
    <w:p>
      <w:pPr>
        <w:pStyle w:val="2"/>
        <w:keepNext w:val="0"/>
        <w:keepLines w:val="0"/>
        <w:pageBreakBefore w:val="0"/>
        <w:widowControl w:val="0"/>
        <w:kinsoku/>
        <w:wordWrap/>
        <w:overflowPunct/>
        <w:topLinePunct w:val="0"/>
        <w:autoSpaceDE/>
        <w:autoSpaceDN/>
        <w:bidi w:val="0"/>
        <w:adjustRightInd/>
        <w:spacing w:line="440" w:lineRule="exac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3.1羽绒被</w:t>
      </w:r>
    </w:p>
    <w:p>
      <w:pPr>
        <w:pStyle w:val="2"/>
        <w:keepNext w:val="0"/>
        <w:keepLines w:val="0"/>
        <w:pageBreakBefore w:val="0"/>
        <w:widowControl w:val="0"/>
        <w:kinsoku/>
        <w:wordWrap/>
        <w:overflowPunct/>
        <w:topLinePunct w:val="0"/>
        <w:autoSpaceDE/>
        <w:autoSpaceDN/>
        <w:bidi w:val="0"/>
        <w:adjustRightInd/>
        <w:spacing w:line="440" w:lineRule="exact"/>
        <w:ind w:firstLine="56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填充物成分为100%羽绒羽毛，且绒子含量大于等于50%的被类产品。</w:t>
      </w:r>
    </w:p>
    <w:p>
      <w:pPr>
        <w:pStyle w:val="2"/>
        <w:keepNext w:val="0"/>
        <w:keepLines w:val="0"/>
        <w:pageBreakBefore w:val="0"/>
        <w:widowControl w:val="0"/>
        <w:kinsoku/>
        <w:wordWrap/>
        <w:overflowPunct/>
        <w:topLinePunct w:val="0"/>
        <w:autoSpaceDE/>
        <w:autoSpaceDN/>
        <w:bidi w:val="0"/>
        <w:adjustRightInd/>
        <w:spacing w:line="440" w:lineRule="exact"/>
        <w:ind w:firstLine="560"/>
        <w:textAlignment w:val="auto"/>
        <w:rPr>
          <w:rFonts w:hint="default" w:ascii="Times New Roman" w:hAnsi="Times New Roman" w:eastAsia="宋体" w:cs="Times New Roman"/>
          <w:sz w:val="21"/>
          <w:szCs w:val="21"/>
        </w:rPr>
      </w:pPr>
    </w:p>
    <w:p>
      <w:pPr>
        <w:keepNext w:val="0"/>
        <w:keepLines w:val="0"/>
        <w:pageBreakBefore w:val="0"/>
        <w:widowControl w:val="0"/>
        <w:kinsoku/>
        <w:wordWrap/>
        <w:overflowPunct/>
        <w:topLinePunct w:val="0"/>
        <w:autoSpaceDE/>
        <w:autoSpaceDN/>
        <w:bidi w:val="0"/>
        <w:adjustRightInd/>
        <w:spacing w:line="440" w:lineRule="exact"/>
        <w:textAlignment w:val="auto"/>
        <w:rPr>
          <w:rFonts w:hint="default" w:ascii="Times New Roman" w:hAnsi="Times New Roman" w:eastAsia="黑体" w:cs="Times New Roman"/>
          <w:sz w:val="21"/>
          <w:szCs w:val="21"/>
        </w:rPr>
      </w:pPr>
      <w:r>
        <w:rPr>
          <w:rFonts w:hint="default" w:ascii="Times New Roman" w:hAnsi="Times New Roman" w:eastAsia="黑体" w:cs="Times New Roman"/>
          <w:sz w:val="21"/>
          <w:szCs w:val="21"/>
        </w:rPr>
        <w:t>4 检验依据</w:t>
      </w:r>
    </w:p>
    <w:p>
      <w:pPr>
        <w:keepNext w:val="0"/>
        <w:keepLines w:val="0"/>
        <w:pageBreakBefore w:val="0"/>
        <w:widowControl w:val="0"/>
        <w:kinsoku/>
        <w:wordWrap/>
        <w:overflowPunct/>
        <w:topLinePunct w:val="0"/>
        <w:autoSpaceDE/>
        <w:autoSpaceDN/>
        <w:bidi w:val="0"/>
        <w:adjustRightInd/>
        <w:spacing w:line="440" w:lineRule="exact"/>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GB</w:t>
      </w:r>
      <w:r>
        <w:rPr>
          <w:rFonts w:hint="default" w:ascii="Times New Roman" w:hAnsi="Times New Roman" w:eastAsia="宋体" w:cs="Times New Roman"/>
          <w:sz w:val="21"/>
          <w:szCs w:val="21"/>
        </w:rPr>
        <w:t xml:space="preserve"> 18401    </w:t>
      </w:r>
      <w:r>
        <w:rPr>
          <w:rFonts w:hint="default" w:ascii="Times New Roman" w:hAnsi="Times New Roman" w:eastAsia="宋体" w:cs="Times New Roman"/>
          <w:sz w:val="21"/>
          <w:szCs w:val="21"/>
        </w:rPr>
        <w:t>国家纺织产品基本安全技术规范</w:t>
      </w:r>
    </w:p>
    <w:p>
      <w:pPr>
        <w:keepNext w:val="0"/>
        <w:keepLines w:val="0"/>
        <w:pageBreakBefore w:val="0"/>
        <w:widowControl w:val="0"/>
        <w:kinsoku/>
        <w:wordWrap/>
        <w:overflowPunct/>
        <w:topLinePunct w:val="0"/>
        <w:autoSpaceDE/>
        <w:autoSpaceDN/>
        <w:bidi w:val="0"/>
        <w:adjustRightInd/>
        <w:spacing w:line="440" w:lineRule="exact"/>
        <w:ind w:left="559" w:leftChars="266"/>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QB/T</w:t>
      </w:r>
      <w:r>
        <w:rPr>
          <w:rFonts w:hint="default" w:ascii="Times New Roman" w:hAnsi="Times New Roman" w:eastAsia="宋体" w:cs="Times New Roman"/>
          <w:sz w:val="21"/>
          <w:szCs w:val="21"/>
        </w:rPr>
        <w:t xml:space="preserve"> </w:t>
      </w:r>
      <w:r>
        <w:rPr>
          <w:rFonts w:hint="default" w:ascii="Times New Roman" w:hAnsi="Times New Roman" w:eastAsia="宋体" w:cs="Times New Roman"/>
          <w:sz w:val="21"/>
          <w:szCs w:val="21"/>
        </w:rPr>
        <w:t>1193</w:t>
      </w:r>
      <w:r>
        <w:rPr>
          <w:rFonts w:hint="default" w:ascii="Times New Roman" w:hAnsi="Times New Roman" w:eastAsia="宋体" w:cs="Times New Roman"/>
          <w:sz w:val="21"/>
          <w:szCs w:val="21"/>
        </w:rPr>
        <w:t xml:space="preserve">   </w:t>
      </w:r>
      <w:r>
        <w:rPr>
          <w:rFonts w:hint="default" w:ascii="Times New Roman" w:hAnsi="Times New Roman" w:eastAsia="宋体" w:cs="Times New Roman"/>
          <w:sz w:val="21"/>
          <w:szCs w:val="21"/>
        </w:rPr>
        <w:t>羽绒羽毛被</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GB/T 2912.1  纺织品 甲醛的测定 第1部分：游离和水解的甲醛（水萃取法）</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GB/T 3920   纺织品 色牢度试验 耐摩擦色牢度</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GB/T 3922   纺织品 色牢度试验 耐汗渍色牢度</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GB/T 5713   纺织品 色牢度试验 耐水色牢度</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GB/T 7573   纺织品 水萃取液pH值的测定</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GB/T 17592  纺织品 禁用偶氮染料的测定</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hint="default" w:ascii="Times New Roman" w:hAnsi="Times New Roman" w:eastAsia="宋体" w:cs="Times New Roman"/>
          <w:color w:val="000000"/>
          <w:sz w:val="21"/>
          <w:szCs w:val="21"/>
        </w:rPr>
      </w:pPr>
      <w:r>
        <w:rPr>
          <w:rFonts w:hint="default" w:ascii="Times New Roman" w:hAnsi="Times New Roman" w:eastAsia="宋体" w:cs="Times New Roman"/>
          <w:color w:val="000000"/>
          <w:sz w:val="21"/>
          <w:szCs w:val="21"/>
        </w:rPr>
        <w:t>GB/T 23344  纺织品 4-氨基偶氮苯的测定</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color w:val="000000"/>
          <w:sz w:val="21"/>
          <w:szCs w:val="21"/>
        </w:rPr>
        <w:t>GB/T 10111</w:t>
      </w:r>
      <w:r>
        <w:rPr>
          <w:rFonts w:hint="default" w:ascii="Times New Roman" w:hAnsi="Times New Roman" w:eastAsia="宋体" w:cs="Times New Roman"/>
          <w:color w:val="000000"/>
          <w:sz w:val="21"/>
          <w:szCs w:val="21"/>
        </w:rPr>
        <w:t xml:space="preserve">  </w:t>
      </w:r>
      <w:r>
        <w:rPr>
          <w:rFonts w:hint="default" w:ascii="Times New Roman" w:hAnsi="Times New Roman" w:eastAsia="宋体" w:cs="Times New Roman"/>
          <w:color w:val="000000"/>
          <w:sz w:val="21"/>
          <w:szCs w:val="21"/>
        </w:rPr>
        <w:t>随机数的产生及其在产品质量抽样检验中的应用程序</w:t>
      </w:r>
    </w:p>
    <w:p>
      <w:pPr>
        <w:keepNext w:val="0"/>
        <w:keepLines w:val="0"/>
        <w:pageBreakBefore w:val="0"/>
        <w:widowControl w:val="0"/>
        <w:kinsoku/>
        <w:wordWrap/>
        <w:overflowPunct/>
        <w:topLinePunct w:val="0"/>
        <w:autoSpaceDE/>
        <w:autoSpaceDN/>
        <w:bidi w:val="0"/>
        <w:adjustRightInd/>
        <w:spacing w:line="440" w:lineRule="exact"/>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现行有效的企业标准、团体标准、地方标准及产品明示质量要求</w:t>
      </w:r>
      <w:r>
        <w:rPr>
          <w:rFonts w:hint="default" w:ascii="Times New Roman" w:hAnsi="Times New Roman" w:eastAsia="宋体" w:cs="Times New Roman"/>
          <w:sz w:val="21"/>
          <w:szCs w:val="21"/>
        </w:rPr>
        <w:t>。</w:t>
      </w:r>
    </w:p>
    <w:p>
      <w:pPr>
        <w:pStyle w:val="2"/>
        <w:rPr>
          <w:rFonts w:hint="default" w:ascii="Times New Roman" w:hAnsi="Times New Roman" w:cs="Times New Roman"/>
        </w:rPr>
      </w:pPr>
    </w:p>
    <w:p>
      <w:pPr>
        <w:keepNext w:val="0"/>
        <w:keepLines w:val="0"/>
        <w:pageBreakBefore w:val="0"/>
        <w:widowControl w:val="0"/>
        <w:kinsoku/>
        <w:wordWrap/>
        <w:overflowPunct/>
        <w:topLinePunct w:val="0"/>
        <w:autoSpaceDE/>
        <w:autoSpaceDN/>
        <w:bidi w:val="0"/>
        <w:adjustRightInd/>
        <w:spacing w:line="440" w:lineRule="exact"/>
        <w:textAlignment w:val="auto"/>
        <w:rPr>
          <w:rFonts w:hint="default" w:ascii="Times New Roman" w:hAnsi="Times New Roman" w:eastAsia="黑体" w:cs="Times New Roman"/>
          <w:sz w:val="21"/>
          <w:szCs w:val="21"/>
        </w:rPr>
      </w:pPr>
      <w:r>
        <w:rPr>
          <w:rFonts w:hint="default" w:ascii="Times New Roman" w:hAnsi="Times New Roman" w:eastAsia="黑体" w:cs="Times New Roman"/>
          <w:sz w:val="21"/>
          <w:szCs w:val="21"/>
        </w:rPr>
        <w:t>5 抽样要求</w:t>
      </w:r>
    </w:p>
    <w:p>
      <w:pPr>
        <w:keepNext w:val="0"/>
        <w:keepLines w:val="0"/>
        <w:pageBreakBefore w:val="0"/>
        <w:widowControl w:val="0"/>
        <w:kinsoku/>
        <w:wordWrap/>
        <w:overflowPunct/>
        <w:topLinePunct w:val="0"/>
        <w:autoSpaceDE/>
        <w:autoSpaceDN/>
        <w:bidi w:val="0"/>
        <w:adjustRightInd/>
        <w:spacing w:line="440" w:lineRule="exac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5.1 抽样方法</w:t>
      </w:r>
    </w:p>
    <w:p>
      <w:pPr>
        <w:keepNext w:val="0"/>
        <w:keepLines w:val="0"/>
        <w:pageBreakBefore w:val="0"/>
        <w:widowControl w:val="0"/>
        <w:kinsoku/>
        <w:wordWrap/>
        <w:overflowPunct/>
        <w:topLinePunct w:val="0"/>
        <w:autoSpaceDE/>
        <w:autoSpaceDN/>
        <w:bidi w:val="0"/>
        <w:adjustRightInd/>
        <w:spacing w:line="440" w:lineRule="exact"/>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以随机抽样的方式在被抽样生产者、销售者的待销产品中抽取</w:t>
      </w:r>
      <w:r>
        <w:rPr>
          <w:rFonts w:hint="default" w:ascii="Times New Roman" w:hAnsi="Times New Roman" w:eastAsia="宋体" w:cs="Times New Roman"/>
          <w:sz w:val="21"/>
          <w:szCs w:val="21"/>
        </w:rPr>
        <w:t>。</w:t>
      </w:r>
      <w:r>
        <w:rPr>
          <w:rFonts w:hint="default" w:ascii="Times New Roman" w:hAnsi="Times New Roman" w:eastAsia="宋体" w:cs="Times New Roman"/>
          <w:sz w:val="21"/>
          <w:szCs w:val="21"/>
        </w:rPr>
        <w:t>随机数一般可使用随机数表等方法产生。</w:t>
      </w:r>
    </w:p>
    <w:p>
      <w:pPr>
        <w:keepNext w:val="0"/>
        <w:keepLines w:val="0"/>
        <w:pageBreakBefore w:val="0"/>
        <w:widowControl w:val="0"/>
        <w:kinsoku/>
        <w:wordWrap/>
        <w:overflowPunct/>
        <w:topLinePunct w:val="0"/>
        <w:autoSpaceDE/>
        <w:autoSpaceDN/>
        <w:bidi w:val="0"/>
        <w:adjustRightInd/>
        <w:spacing w:line="440" w:lineRule="exac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5.2 抽样数量</w:t>
      </w:r>
    </w:p>
    <w:p>
      <w:pPr>
        <w:keepNext w:val="0"/>
        <w:keepLines w:val="0"/>
        <w:pageBreakBefore w:val="0"/>
        <w:widowControl w:val="0"/>
        <w:kinsoku/>
        <w:wordWrap/>
        <w:overflowPunct/>
        <w:topLinePunct w:val="0"/>
        <w:autoSpaceDE/>
        <w:autoSpaceDN/>
        <w:bidi w:val="0"/>
        <w:adjustRightInd/>
        <w:spacing w:line="440" w:lineRule="exact"/>
        <w:ind w:firstLine="371" w:firstLineChars="177"/>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抽样数量基数满足抽样数量即可，抽取2条，其中1条为备样。如样品面积过小，可适当增加抽样数量，不得超过检验、复检的合理需要。</w:t>
      </w:r>
    </w:p>
    <w:p>
      <w:pPr>
        <w:keepNext w:val="0"/>
        <w:keepLines w:val="0"/>
        <w:pageBreakBefore w:val="0"/>
        <w:widowControl w:val="0"/>
        <w:kinsoku/>
        <w:wordWrap/>
        <w:overflowPunct/>
        <w:topLinePunct w:val="0"/>
        <w:autoSpaceDE/>
        <w:autoSpaceDN/>
        <w:bidi w:val="0"/>
        <w:adjustRightInd/>
        <w:spacing w:line="440" w:lineRule="exac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5.3 抽样管理</w:t>
      </w:r>
    </w:p>
    <w:p>
      <w:pPr>
        <w:keepNext w:val="0"/>
        <w:keepLines w:val="0"/>
        <w:pageBreakBefore w:val="0"/>
        <w:widowControl w:val="0"/>
        <w:kinsoku/>
        <w:wordWrap/>
        <w:overflowPunct/>
        <w:topLinePunct w:val="0"/>
        <w:autoSpaceDE/>
        <w:autoSpaceDN/>
        <w:bidi w:val="0"/>
        <w:adjustRightInd/>
        <w:spacing w:line="440" w:lineRule="exact"/>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抽样时样品由抽样人员和被抽样单位陪同人员用不可擦拭的特殊记号笔签字封样或封样单封样。封样单封样时，应保证所有可开启部位的贴封（防止样品被调换）。检测和备用样品应分别封装，并现场在包装上标注“检测样品”和“备用样品”。</w:t>
      </w:r>
    </w:p>
    <w:p>
      <w:pPr>
        <w:keepNext w:val="0"/>
        <w:keepLines w:val="0"/>
        <w:pageBreakBefore w:val="0"/>
        <w:widowControl w:val="0"/>
        <w:kinsoku/>
        <w:wordWrap/>
        <w:overflowPunct/>
        <w:topLinePunct w:val="0"/>
        <w:autoSpaceDE/>
        <w:autoSpaceDN/>
        <w:bidi w:val="0"/>
        <w:adjustRightInd/>
        <w:spacing w:line="440" w:lineRule="exact"/>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完成抽样后应将所抽取的样品连同抽样单、通知书等相关文书、证明材料一同送至检验单位，样品送达检验单位后，由抽样人员和样品接收人员共同确认样品的状态以及样品及抽样单的一致性等问题，检查并记录样品签字的真实、封样单的完整以及外观状态等情况，必要时可拍照进行记录确认，若无问题对检测和备用样品分别作出唯一标识后入库。</w:t>
      </w:r>
    </w:p>
    <w:p>
      <w:pPr>
        <w:keepNext w:val="0"/>
        <w:keepLines w:val="0"/>
        <w:pageBreakBefore w:val="0"/>
        <w:widowControl w:val="0"/>
        <w:kinsoku/>
        <w:wordWrap/>
        <w:overflowPunct/>
        <w:topLinePunct w:val="0"/>
        <w:autoSpaceDE/>
        <w:autoSpaceDN/>
        <w:bidi w:val="0"/>
        <w:adjustRightInd/>
        <w:spacing w:line="440" w:lineRule="exact"/>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样品应贮存在阴凉、通风的库房内，平整堆放，高度不宜超过1.5米，避免阳光直射。</w:t>
      </w:r>
    </w:p>
    <w:p>
      <w:pPr>
        <w:pStyle w:val="2"/>
        <w:rPr>
          <w:rFonts w:hint="default" w:ascii="Times New Roman" w:hAnsi="Times New Roman" w:cs="Times New Roman"/>
        </w:rPr>
      </w:pPr>
    </w:p>
    <w:p>
      <w:pPr>
        <w:keepNext w:val="0"/>
        <w:keepLines w:val="0"/>
        <w:pageBreakBefore w:val="0"/>
        <w:widowControl w:val="0"/>
        <w:kinsoku/>
        <w:wordWrap/>
        <w:overflowPunct/>
        <w:topLinePunct w:val="0"/>
        <w:autoSpaceDE/>
        <w:autoSpaceDN/>
        <w:bidi w:val="0"/>
        <w:adjustRightInd/>
        <w:spacing w:line="440" w:lineRule="exact"/>
        <w:textAlignment w:val="auto"/>
        <w:rPr>
          <w:rFonts w:hint="default" w:ascii="Times New Roman" w:hAnsi="Times New Roman" w:eastAsia="黑体" w:cs="Times New Roman"/>
          <w:sz w:val="21"/>
          <w:szCs w:val="21"/>
        </w:rPr>
      </w:pPr>
      <w:r>
        <w:rPr>
          <w:rFonts w:hint="default" w:ascii="Times New Roman" w:hAnsi="Times New Roman" w:eastAsia="黑体" w:cs="Times New Roman"/>
          <w:sz w:val="21"/>
          <w:szCs w:val="21"/>
        </w:rPr>
        <w:t>6 检验要求</w:t>
      </w:r>
    </w:p>
    <w:p>
      <w:pPr>
        <w:keepNext w:val="0"/>
        <w:keepLines w:val="0"/>
        <w:pageBreakBefore w:val="0"/>
        <w:widowControl w:val="0"/>
        <w:kinsoku/>
        <w:wordWrap/>
        <w:overflowPunct/>
        <w:topLinePunct w:val="0"/>
        <w:autoSpaceDE/>
        <w:autoSpaceDN/>
        <w:bidi w:val="0"/>
        <w:adjustRightInd/>
        <w:spacing w:line="440" w:lineRule="exac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6.1 检验项目</w:t>
      </w: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51"/>
        <w:gridCol w:w="3585"/>
        <w:gridCol w:w="35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51" w:type="dxa"/>
            <w:vAlign w:val="center"/>
          </w:tcPr>
          <w:p>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序号</w:t>
            </w:r>
          </w:p>
        </w:tc>
        <w:tc>
          <w:tcPr>
            <w:tcW w:w="3585" w:type="dxa"/>
            <w:vAlign w:val="center"/>
          </w:tcPr>
          <w:p>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检验项目</w:t>
            </w:r>
          </w:p>
        </w:tc>
        <w:tc>
          <w:tcPr>
            <w:tcW w:w="3586" w:type="dxa"/>
            <w:vAlign w:val="center"/>
          </w:tcPr>
          <w:p>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51" w:type="dxa"/>
            <w:vAlign w:val="center"/>
          </w:tcPr>
          <w:p>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w:t>
            </w:r>
          </w:p>
        </w:tc>
        <w:tc>
          <w:tcPr>
            <w:tcW w:w="3585" w:type="dxa"/>
            <w:vAlign w:val="center"/>
          </w:tcPr>
          <w:p>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甲醛含量</w:t>
            </w:r>
          </w:p>
        </w:tc>
        <w:tc>
          <w:tcPr>
            <w:tcW w:w="3586" w:type="dxa"/>
            <w:vAlign w:val="center"/>
          </w:tcPr>
          <w:p>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GB/T 2912.1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51" w:type="dxa"/>
            <w:vAlign w:val="center"/>
          </w:tcPr>
          <w:p>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w:t>
            </w:r>
          </w:p>
        </w:tc>
        <w:tc>
          <w:tcPr>
            <w:tcW w:w="3585" w:type="dxa"/>
            <w:vAlign w:val="center"/>
          </w:tcPr>
          <w:p>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pH值</w:t>
            </w:r>
          </w:p>
        </w:tc>
        <w:tc>
          <w:tcPr>
            <w:tcW w:w="3586" w:type="dxa"/>
            <w:vAlign w:val="center"/>
          </w:tcPr>
          <w:p>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GB/T 7573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51" w:type="dxa"/>
            <w:vAlign w:val="center"/>
          </w:tcPr>
          <w:p>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w:t>
            </w:r>
          </w:p>
        </w:tc>
        <w:tc>
          <w:tcPr>
            <w:tcW w:w="3585" w:type="dxa"/>
            <w:vAlign w:val="center"/>
          </w:tcPr>
          <w:p>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异味</w:t>
            </w:r>
          </w:p>
        </w:tc>
        <w:tc>
          <w:tcPr>
            <w:tcW w:w="3586" w:type="dxa"/>
            <w:vAlign w:val="center"/>
          </w:tcPr>
          <w:p>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GB 18401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51" w:type="dxa"/>
            <w:vAlign w:val="center"/>
          </w:tcPr>
          <w:p>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4</w:t>
            </w:r>
          </w:p>
        </w:tc>
        <w:tc>
          <w:tcPr>
            <w:tcW w:w="3585" w:type="dxa"/>
            <w:vAlign w:val="center"/>
          </w:tcPr>
          <w:p>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可分解致癌芳香胺染料</w:t>
            </w:r>
          </w:p>
        </w:tc>
        <w:tc>
          <w:tcPr>
            <w:tcW w:w="3586" w:type="dxa"/>
            <w:vAlign w:val="center"/>
          </w:tcPr>
          <w:p>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GB/T 17592</w:t>
            </w:r>
          </w:p>
          <w:p>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GB/T 23344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51" w:type="dxa"/>
            <w:vAlign w:val="center"/>
          </w:tcPr>
          <w:p>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5</w:t>
            </w:r>
          </w:p>
        </w:tc>
        <w:tc>
          <w:tcPr>
            <w:tcW w:w="3585" w:type="dxa"/>
            <w:vAlign w:val="center"/>
          </w:tcPr>
          <w:p>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耐水色牢度</w:t>
            </w:r>
          </w:p>
        </w:tc>
        <w:tc>
          <w:tcPr>
            <w:tcW w:w="3586" w:type="dxa"/>
            <w:vAlign w:val="center"/>
          </w:tcPr>
          <w:p>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GB/T 5713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51" w:type="dxa"/>
            <w:vAlign w:val="center"/>
          </w:tcPr>
          <w:p>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6</w:t>
            </w:r>
          </w:p>
        </w:tc>
        <w:tc>
          <w:tcPr>
            <w:tcW w:w="3585" w:type="dxa"/>
            <w:vAlign w:val="center"/>
          </w:tcPr>
          <w:p>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耐酸汗渍色牢度</w:t>
            </w:r>
          </w:p>
        </w:tc>
        <w:tc>
          <w:tcPr>
            <w:tcW w:w="3586" w:type="dxa"/>
            <w:vAlign w:val="center"/>
          </w:tcPr>
          <w:p>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GB/T 3922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51" w:type="dxa"/>
            <w:vAlign w:val="center"/>
          </w:tcPr>
          <w:p>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7</w:t>
            </w:r>
          </w:p>
        </w:tc>
        <w:tc>
          <w:tcPr>
            <w:tcW w:w="3585" w:type="dxa"/>
            <w:vAlign w:val="center"/>
          </w:tcPr>
          <w:p>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耐碱汗渍色牢度</w:t>
            </w:r>
          </w:p>
        </w:tc>
        <w:tc>
          <w:tcPr>
            <w:tcW w:w="3586" w:type="dxa"/>
            <w:vAlign w:val="center"/>
          </w:tcPr>
          <w:p>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GB/T 3922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51" w:type="dxa"/>
            <w:vAlign w:val="center"/>
          </w:tcPr>
          <w:p>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8</w:t>
            </w:r>
          </w:p>
        </w:tc>
        <w:tc>
          <w:tcPr>
            <w:tcW w:w="3585" w:type="dxa"/>
            <w:vAlign w:val="center"/>
          </w:tcPr>
          <w:p>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耐干摩擦色牢度</w:t>
            </w:r>
            <w:r>
              <w:rPr>
                <w:rFonts w:hint="default" w:ascii="Times New Roman" w:hAnsi="Times New Roman" w:eastAsia="宋体" w:cs="Times New Roman"/>
                <w:sz w:val="21"/>
                <w:szCs w:val="21"/>
                <w:vertAlign w:val="superscript"/>
              </w:rPr>
              <w:t>a</w:t>
            </w:r>
          </w:p>
        </w:tc>
        <w:tc>
          <w:tcPr>
            <w:tcW w:w="3586" w:type="dxa"/>
            <w:vAlign w:val="center"/>
          </w:tcPr>
          <w:p>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GB/T 3920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3"/>
            <w:vAlign w:val="center"/>
          </w:tcPr>
          <w:p>
            <w:pPr>
              <w:keepNext w:val="0"/>
              <w:keepLines w:val="0"/>
              <w:pageBreakBefore w:val="0"/>
              <w:widowControl w:val="0"/>
              <w:kinsoku/>
              <w:wordWrap/>
              <w:overflowPunct/>
              <w:topLinePunct w:val="0"/>
              <w:autoSpaceDE/>
              <w:autoSpaceDN/>
              <w:bidi w:val="0"/>
              <w:adjustRightInd/>
              <w:spacing w:line="440" w:lineRule="exact"/>
              <w:jc w:val="lef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注：</w:t>
            </w:r>
            <w:r>
              <w:rPr>
                <w:rFonts w:hint="default" w:ascii="Times New Roman" w:hAnsi="Times New Roman" w:eastAsia="宋体" w:cs="Times New Roman"/>
                <w:color w:val="000000"/>
                <w:sz w:val="21"/>
                <w:szCs w:val="21"/>
                <w:vertAlign w:val="superscript"/>
              </w:rPr>
              <w:t xml:space="preserve">a  </w:t>
            </w:r>
            <w:r>
              <w:rPr>
                <w:rFonts w:hint="default" w:ascii="Times New Roman" w:hAnsi="Times New Roman" w:eastAsia="宋体" w:cs="Times New Roman"/>
                <w:kern w:val="0"/>
                <w:sz w:val="21"/>
                <w:szCs w:val="21"/>
              </w:rPr>
              <w:t>针织产品只考核直向。</w:t>
            </w:r>
          </w:p>
        </w:tc>
      </w:tr>
    </w:tbl>
    <w:p>
      <w:pPr>
        <w:keepNext w:val="0"/>
        <w:keepLines w:val="0"/>
        <w:pageBreakBefore w:val="0"/>
        <w:widowControl w:val="0"/>
        <w:kinsoku/>
        <w:wordWrap/>
        <w:overflowPunct/>
        <w:topLinePunct w:val="0"/>
        <w:autoSpaceDE/>
        <w:autoSpaceDN/>
        <w:bidi w:val="0"/>
        <w:adjustRightInd/>
        <w:spacing w:line="440" w:lineRule="exac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注：</w:t>
      </w:r>
    </w:p>
    <w:p>
      <w:pPr>
        <w:keepNext w:val="0"/>
        <w:keepLines w:val="0"/>
        <w:pageBreakBefore w:val="0"/>
        <w:widowControl w:val="0"/>
        <w:kinsoku/>
        <w:wordWrap/>
        <w:overflowPunct/>
        <w:topLinePunct w:val="0"/>
        <w:autoSpaceDE/>
        <w:autoSpaceDN/>
        <w:bidi w:val="0"/>
        <w:adjustRightInd/>
        <w:spacing w:line="440" w:lineRule="exac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1 表中所列检验项目是有关法律法规、标准等规定的，重点涉及健康、安全、节能、环保以及消费者、有关组织反映有质量问题的重要项目。 </w:t>
      </w:r>
    </w:p>
    <w:p>
      <w:pPr>
        <w:keepNext w:val="0"/>
        <w:keepLines w:val="0"/>
        <w:pageBreakBefore w:val="0"/>
        <w:widowControl w:val="0"/>
        <w:kinsoku/>
        <w:wordWrap/>
        <w:overflowPunct/>
        <w:topLinePunct w:val="0"/>
        <w:autoSpaceDE/>
        <w:autoSpaceDN/>
        <w:bidi w:val="0"/>
        <w:adjustRightInd/>
        <w:spacing w:line="440" w:lineRule="exac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2 检验方法包括相关产品标准及试验方法标准。 </w:t>
      </w:r>
    </w:p>
    <w:p>
      <w:pPr>
        <w:keepNext w:val="0"/>
        <w:keepLines w:val="0"/>
        <w:pageBreakBefore w:val="0"/>
        <w:widowControl w:val="0"/>
        <w:kinsoku/>
        <w:wordWrap/>
        <w:overflowPunct/>
        <w:topLinePunct w:val="0"/>
        <w:autoSpaceDE/>
        <w:autoSpaceDN/>
        <w:bidi w:val="0"/>
        <w:adjustRightInd/>
        <w:spacing w:line="440" w:lineRule="exac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3 凡是注日期的文件，其随后所有的修改单（不包括勘误的内容）或修订版不适用于本细则。凡是不注日期的文件，其最新版本适用于本细则。 </w:t>
      </w:r>
    </w:p>
    <w:p>
      <w:pPr>
        <w:pStyle w:val="2"/>
        <w:rPr>
          <w:rFonts w:hint="default" w:ascii="Times New Roman" w:hAnsi="Times New Roman" w:cs="Times New Roman"/>
        </w:rPr>
      </w:pPr>
    </w:p>
    <w:p>
      <w:pPr>
        <w:keepNext w:val="0"/>
        <w:keepLines w:val="0"/>
        <w:pageBreakBefore w:val="0"/>
        <w:widowControl w:val="0"/>
        <w:kinsoku/>
        <w:wordWrap/>
        <w:overflowPunct/>
        <w:topLinePunct w:val="0"/>
        <w:autoSpaceDE/>
        <w:autoSpaceDN/>
        <w:bidi w:val="0"/>
        <w:adjustRightInd/>
        <w:spacing w:line="440" w:lineRule="exact"/>
        <w:textAlignment w:val="auto"/>
        <w:rPr>
          <w:rFonts w:hint="default" w:ascii="Times New Roman" w:hAnsi="Times New Roman" w:eastAsia="黑体" w:cs="Times New Roman"/>
          <w:sz w:val="21"/>
          <w:szCs w:val="21"/>
        </w:rPr>
      </w:pPr>
      <w:r>
        <w:rPr>
          <w:rFonts w:hint="default" w:ascii="Times New Roman" w:hAnsi="Times New Roman" w:eastAsia="黑体" w:cs="Times New Roman"/>
          <w:sz w:val="21"/>
          <w:szCs w:val="21"/>
        </w:rPr>
        <w:t>7 判定规则</w:t>
      </w:r>
    </w:p>
    <w:p>
      <w:pPr>
        <w:keepNext w:val="0"/>
        <w:keepLines w:val="0"/>
        <w:pageBreakBefore w:val="0"/>
        <w:widowControl w:val="0"/>
        <w:kinsoku/>
        <w:wordWrap/>
        <w:overflowPunct/>
        <w:topLinePunct w:val="0"/>
        <w:autoSpaceDE/>
        <w:autoSpaceDN/>
        <w:bidi w:val="0"/>
        <w:adjustRightInd/>
        <w:spacing w:line="440" w:lineRule="exact"/>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经检验，检验项目全部合格，判定为被抽查产品合格；检验项目中任一项或一项以上不合格，判定为被抽查产品不合格。</w:t>
      </w:r>
    </w:p>
    <w:p>
      <w:pPr>
        <w:keepNext w:val="0"/>
        <w:keepLines w:val="0"/>
        <w:pageBreakBefore w:val="0"/>
        <w:widowControl w:val="0"/>
        <w:kinsoku/>
        <w:wordWrap/>
        <w:overflowPunct/>
        <w:topLinePunct w:val="0"/>
        <w:autoSpaceDE/>
        <w:autoSpaceDN/>
        <w:bidi w:val="0"/>
        <w:adjustRightInd/>
        <w:spacing w:line="440" w:lineRule="exact"/>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若被检产品明示的质量要求高于本细则中检验项目依据的标准要求时，应按被检产品明示的质量要求判定。</w:t>
      </w:r>
    </w:p>
    <w:p>
      <w:pPr>
        <w:keepNext w:val="0"/>
        <w:keepLines w:val="0"/>
        <w:pageBreakBefore w:val="0"/>
        <w:widowControl w:val="0"/>
        <w:kinsoku/>
        <w:wordWrap/>
        <w:overflowPunct/>
        <w:topLinePunct w:val="0"/>
        <w:autoSpaceDE/>
        <w:autoSpaceDN/>
        <w:bidi w:val="0"/>
        <w:adjustRightInd/>
        <w:spacing w:line="440" w:lineRule="exact"/>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若被检产品明示的质量要求低于本细则中检验项目依据的强制性标准要求时，应按照强制性标准要求判定。</w:t>
      </w:r>
    </w:p>
    <w:p>
      <w:pPr>
        <w:keepNext w:val="0"/>
        <w:keepLines w:val="0"/>
        <w:pageBreakBefore w:val="0"/>
        <w:widowControl w:val="0"/>
        <w:kinsoku/>
        <w:wordWrap/>
        <w:overflowPunct/>
        <w:topLinePunct w:val="0"/>
        <w:autoSpaceDE/>
        <w:autoSpaceDN/>
        <w:bidi w:val="0"/>
        <w:adjustRightInd/>
        <w:spacing w:line="440" w:lineRule="exact"/>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若被检产品明示的质量要求低于或包含本细则中检验项目依据的推荐性标准要求时，应以被检产品明示的质量要求判定，但应在检验报告备注中进行说明。</w:t>
      </w:r>
    </w:p>
    <w:p>
      <w:pPr>
        <w:keepNext w:val="0"/>
        <w:keepLines w:val="0"/>
        <w:pageBreakBefore w:val="0"/>
        <w:widowControl w:val="0"/>
        <w:kinsoku/>
        <w:wordWrap/>
        <w:overflowPunct/>
        <w:topLinePunct w:val="0"/>
        <w:autoSpaceDE/>
        <w:autoSpaceDN/>
        <w:bidi w:val="0"/>
        <w:adjustRightInd/>
        <w:spacing w:line="440" w:lineRule="exact"/>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若被检产品明示的质量要求缺少本细则中检验项目依据的强制性标准要求时，应按照强制性标准要求判定。</w:t>
      </w:r>
    </w:p>
    <w:p>
      <w:pPr>
        <w:keepNext w:val="0"/>
        <w:keepLines w:val="0"/>
        <w:pageBreakBefore w:val="0"/>
        <w:widowControl w:val="0"/>
        <w:kinsoku/>
        <w:wordWrap/>
        <w:overflowPunct/>
        <w:topLinePunct w:val="0"/>
        <w:autoSpaceDE/>
        <w:autoSpaceDN/>
        <w:bidi w:val="0"/>
        <w:adjustRightInd/>
        <w:spacing w:line="440" w:lineRule="exact"/>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若被检产品明示的质量要求缺少本细则中检验项目依据的推荐性标准要求时，该项目不参与判定，但应在检验报告备注中进行说明。</w:t>
      </w:r>
    </w:p>
    <w:p>
      <w:pPr>
        <w:pStyle w:val="2"/>
        <w:rPr>
          <w:rFonts w:hint="default" w:ascii="Times New Roman" w:hAnsi="Times New Roman" w:cs="Times New Roman"/>
        </w:rPr>
      </w:pPr>
    </w:p>
    <w:p>
      <w:pPr>
        <w:keepNext w:val="0"/>
        <w:keepLines w:val="0"/>
        <w:pageBreakBefore w:val="0"/>
        <w:widowControl w:val="0"/>
        <w:kinsoku/>
        <w:wordWrap/>
        <w:overflowPunct/>
        <w:topLinePunct w:val="0"/>
        <w:autoSpaceDE/>
        <w:autoSpaceDN/>
        <w:bidi w:val="0"/>
        <w:adjustRightInd/>
        <w:spacing w:line="440" w:lineRule="exact"/>
        <w:textAlignment w:val="auto"/>
        <w:rPr>
          <w:rFonts w:hint="default" w:ascii="Times New Roman" w:hAnsi="Times New Roman" w:eastAsia="黑体" w:cs="Times New Roman"/>
          <w:sz w:val="21"/>
          <w:szCs w:val="21"/>
        </w:rPr>
      </w:pPr>
      <w:r>
        <w:rPr>
          <w:rFonts w:hint="default" w:ascii="Times New Roman" w:hAnsi="Times New Roman" w:eastAsia="黑体" w:cs="Times New Roman"/>
          <w:sz w:val="21"/>
          <w:szCs w:val="21"/>
        </w:rPr>
        <w:t>8 异议处理</w:t>
      </w:r>
    </w:p>
    <w:p>
      <w:pPr>
        <w:keepNext w:val="0"/>
        <w:keepLines w:val="0"/>
        <w:pageBreakBefore w:val="0"/>
        <w:widowControl w:val="0"/>
        <w:kinsoku/>
        <w:wordWrap/>
        <w:overflowPunct/>
        <w:topLinePunct w:val="0"/>
        <w:autoSpaceDE/>
        <w:autoSpaceDN/>
        <w:bidi w:val="0"/>
        <w:adjustRightInd/>
        <w:spacing w:line="440" w:lineRule="exact"/>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被抽样生产者、销售者有异议的，应当向组织监督抽查的市场监督管理部门提出书面异议处理申请，并提交相关材料。</w:t>
      </w:r>
    </w:p>
    <w:p>
      <w:pPr>
        <w:keepNext w:val="0"/>
        <w:keepLines w:val="0"/>
        <w:pageBreakBefore w:val="0"/>
        <w:widowControl w:val="0"/>
        <w:kinsoku/>
        <w:wordWrap/>
        <w:overflowPunct/>
        <w:topLinePunct w:val="0"/>
        <w:autoSpaceDE/>
        <w:autoSpaceDN/>
        <w:bidi w:val="0"/>
        <w:adjustRightInd/>
        <w:spacing w:line="440" w:lineRule="exact"/>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对检验结果有异议的，由组织监督抽查的市场监督管理部门核查相关证据，对需要复检并具备检验条件的，应当组织复检。</w:t>
      </w:r>
    </w:p>
    <w:p>
      <w:pPr>
        <w:pStyle w:val="2"/>
        <w:rPr>
          <w:rFonts w:hint="default" w:ascii="Times New Roman" w:hAnsi="Times New Roman" w:cs="Times New Roman"/>
        </w:rPr>
      </w:pPr>
    </w:p>
    <w:p>
      <w:pPr>
        <w:keepNext w:val="0"/>
        <w:keepLines w:val="0"/>
        <w:pageBreakBefore w:val="0"/>
        <w:widowControl w:val="0"/>
        <w:kinsoku/>
        <w:wordWrap/>
        <w:overflowPunct/>
        <w:topLinePunct w:val="0"/>
        <w:autoSpaceDE/>
        <w:autoSpaceDN/>
        <w:bidi w:val="0"/>
        <w:adjustRightInd/>
        <w:spacing w:line="440" w:lineRule="exact"/>
        <w:textAlignment w:val="auto"/>
        <w:rPr>
          <w:rFonts w:hint="default" w:ascii="Times New Roman" w:hAnsi="Times New Roman" w:eastAsia="黑体" w:cs="Times New Roman"/>
          <w:sz w:val="21"/>
          <w:szCs w:val="21"/>
        </w:rPr>
      </w:pPr>
      <w:r>
        <w:rPr>
          <w:rFonts w:hint="default" w:ascii="Times New Roman" w:hAnsi="Times New Roman" w:eastAsia="黑体" w:cs="Times New Roman"/>
          <w:sz w:val="21"/>
          <w:szCs w:val="21"/>
        </w:rPr>
        <w:t>9 附则</w:t>
      </w:r>
    </w:p>
    <w:p>
      <w:pPr>
        <w:keepNext w:val="0"/>
        <w:keepLines w:val="0"/>
        <w:pageBreakBefore w:val="0"/>
        <w:widowControl w:val="0"/>
        <w:kinsoku/>
        <w:wordWrap/>
        <w:overflowPunct/>
        <w:topLinePunct w:val="0"/>
        <w:autoSpaceDE/>
        <w:autoSpaceDN/>
        <w:bidi w:val="0"/>
        <w:adjustRightInd/>
        <w:spacing w:line="440" w:lineRule="exact"/>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本细则由西藏自治区产品质量监督检验所编制。</w:t>
      </w:r>
    </w:p>
    <w:p>
      <w:pPr>
        <w:keepNext w:val="0"/>
        <w:keepLines w:val="0"/>
        <w:pageBreakBefore w:val="0"/>
        <w:widowControl w:val="0"/>
        <w:kinsoku/>
        <w:wordWrap/>
        <w:overflowPunct/>
        <w:topLinePunct w:val="0"/>
        <w:autoSpaceDE/>
        <w:autoSpaceDN/>
        <w:bidi w:val="0"/>
        <w:adjustRightInd/>
        <w:spacing w:line="440" w:lineRule="exact"/>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本细则由西藏自治区市场监督管理局产品质量安全监督抽查处管理。</w:t>
      </w: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Microsoft Himalaya">
    <w:panose1 w:val="01010100010101010101"/>
    <w:charset w:val="00"/>
    <w:family w:val="auto"/>
    <w:pitch w:val="default"/>
    <w:sig w:usb0="80000003" w:usb1="00010000" w:usb2="00000040" w:usb3="00000000" w:csb0="00000001" w:csb1="00000000"/>
  </w:font>
  <w:font w:name="仿宋">
    <w:panose1 w:val="02010609060101010101"/>
    <w:charset w:val="86"/>
    <w:family w:val="modern"/>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w:pict>
        <v:shape id="_x0000_s2049" o:spid="_x0000_s2049"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6"/>
                </w:pPr>
                <w:r>
                  <w:fldChar w:fldCharType="begin"/>
                </w:r>
                <w:r>
                  <w:instrText xml:space="preserve"> PAGE  \* MERGEFORMAT </w:instrText>
                </w:r>
                <w:r>
                  <w:fldChar w:fldCharType="separate"/>
                </w:r>
                <w:r>
                  <w:t>1</w:t>
                </w:r>
                <w: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rsids>
    <w:rsidRoot w:val="005A6D56"/>
    <w:rsid w:val="0007571D"/>
    <w:rsid w:val="005A6D56"/>
    <w:rsid w:val="005B697A"/>
    <w:rsid w:val="00641D70"/>
    <w:rsid w:val="008778FB"/>
    <w:rsid w:val="00995461"/>
    <w:rsid w:val="00B2265C"/>
    <w:rsid w:val="00C506F8"/>
    <w:rsid w:val="00CB40A6"/>
    <w:rsid w:val="00D10603"/>
    <w:rsid w:val="00DB6FBA"/>
    <w:rsid w:val="01E22095"/>
    <w:rsid w:val="03026727"/>
    <w:rsid w:val="03092820"/>
    <w:rsid w:val="03B60BF9"/>
    <w:rsid w:val="04A20987"/>
    <w:rsid w:val="04BA0D70"/>
    <w:rsid w:val="04C42EA2"/>
    <w:rsid w:val="04D83B6A"/>
    <w:rsid w:val="055C0FAB"/>
    <w:rsid w:val="07391925"/>
    <w:rsid w:val="09892A05"/>
    <w:rsid w:val="09D35BF6"/>
    <w:rsid w:val="0A577EA6"/>
    <w:rsid w:val="0AFE344A"/>
    <w:rsid w:val="0C6531BD"/>
    <w:rsid w:val="0C7F12F7"/>
    <w:rsid w:val="0CCF38FF"/>
    <w:rsid w:val="0DEE56BA"/>
    <w:rsid w:val="0FE31B58"/>
    <w:rsid w:val="1037379A"/>
    <w:rsid w:val="106E264D"/>
    <w:rsid w:val="115A63CB"/>
    <w:rsid w:val="118A13C5"/>
    <w:rsid w:val="11BA57FF"/>
    <w:rsid w:val="120237D7"/>
    <w:rsid w:val="12F8527E"/>
    <w:rsid w:val="13AC4B87"/>
    <w:rsid w:val="147B1CC2"/>
    <w:rsid w:val="15C2502C"/>
    <w:rsid w:val="16A85E99"/>
    <w:rsid w:val="16E66CA8"/>
    <w:rsid w:val="19094CB9"/>
    <w:rsid w:val="197F131F"/>
    <w:rsid w:val="199143EE"/>
    <w:rsid w:val="1ADE6BE3"/>
    <w:rsid w:val="1C2F094C"/>
    <w:rsid w:val="1C98639D"/>
    <w:rsid w:val="1DF24184"/>
    <w:rsid w:val="1EFF4DAB"/>
    <w:rsid w:val="20CC7DDB"/>
    <w:rsid w:val="21D44790"/>
    <w:rsid w:val="23C02279"/>
    <w:rsid w:val="25796649"/>
    <w:rsid w:val="293B1047"/>
    <w:rsid w:val="2A2658E2"/>
    <w:rsid w:val="2DC810BF"/>
    <w:rsid w:val="2DDE357F"/>
    <w:rsid w:val="2E064A6C"/>
    <w:rsid w:val="2EBF68AD"/>
    <w:rsid w:val="2F5514A4"/>
    <w:rsid w:val="2FFD265E"/>
    <w:rsid w:val="31D87E64"/>
    <w:rsid w:val="321B1AA4"/>
    <w:rsid w:val="321B766A"/>
    <w:rsid w:val="321D1044"/>
    <w:rsid w:val="32997EC6"/>
    <w:rsid w:val="333475F8"/>
    <w:rsid w:val="341B4A8C"/>
    <w:rsid w:val="35126805"/>
    <w:rsid w:val="35352E7D"/>
    <w:rsid w:val="36DF1167"/>
    <w:rsid w:val="3B037579"/>
    <w:rsid w:val="3B2F036E"/>
    <w:rsid w:val="3B4A51A8"/>
    <w:rsid w:val="3C482015"/>
    <w:rsid w:val="3CF61143"/>
    <w:rsid w:val="3CF74EBC"/>
    <w:rsid w:val="3D18555E"/>
    <w:rsid w:val="3D211F38"/>
    <w:rsid w:val="3D7E1C21"/>
    <w:rsid w:val="3FC87482"/>
    <w:rsid w:val="408C5260"/>
    <w:rsid w:val="41855BCB"/>
    <w:rsid w:val="41C55588"/>
    <w:rsid w:val="43BE1B82"/>
    <w:rsid w:val="43E010AB"/>
    <w:rsid w:val="452A328D"/>
    <w:rsid w:val="47E31325"/>
    <w:rsid w:val="486A7600"/>
    <w:rsid w:val="488937B4"/>
    <w:rsid w:val="4961028C"/>
    <w:rsid w:val="4A1E1CDA"/>
    <w:rsid w:val="4AE32F36"/>
    <w:rsid w:val="4B097BF2"/>
    <w:rsid w:val="4C707740"/>
    <w:rsid w:val="4E1F1EAC"/>
    <w:rsid w:val="4ED6366F"/>
    <w:rsid w:val="506A1724"/>
    <w:rsid w:val="50CA095D"/>
    <w:rsid w:val="518C7E71"/>
    <w:rsid w:val="519D207E"/>
    <w:rsid w:val="53240614"/>
    <w:rsid w:val="533237F6"/>
    <w:rsid w:val="53B12DAB"/>
    <w:rsid w:val="54696247"/>
    <w:rsid w:val="549B217C"/>
    <w:rsid w:val="54E029AD"/>
    <w:rsid w:val="566D64C3"/>
    <w:rsid w:val="5856759A"/>
    <w:rsid w:val="58B5343B"/>
    <w:rsid w:val="5A23076E"/>
    <w:rsid w:val="5B3648CE"/>
    <w:rsid w:val="5B7D11B9"/>
    <w:rsid w:val="61842912"/>
    <w:rsid w:val="62E018F9"/>
    <w:rsid w:val="63F027F1"/>
    <w:rsid w:val="64DB373E"/>
    <w:rsid w:val="650C50F9"/>
    <w:rsid w:val="653B66F0"/>
    <w:rsid w:val="65F22540"/>
    <w:rsid w:val="66487045"/>
    <w:rsid w:val="667A42E4"/>
    <w:rsid w:val="66867883"/>
    <w:rsid w:val="66B54875"/>
    <w:rsid w:val="67D60A87"/>
    <w:rsid w:val="69B1626F"/>
    <w:rsid w:val="6A9E5F94"/>
    <w:rsid w:val="6B4D2A2F"/>
    <w:rsid w:val="6CA721E1"/>
    <w:rsid w:val="6CE87DC7"/>
    <w:rsid w:val="6D4274C8"/>
    <w:rsid w:val="6D445FFE"/>
    <w:rsid w:val="6EBA3E17"/>
    <w:rsid w:val="6EC9405A"/>
    <w:rsid w:val="6EF07839"/>
    <w:rsid w:val="6F0E4901"/>
    <w:rsid w:val="6F40431D"/>
    <w:rsid w:val="708A2EF1"/>
    <w:rsid w:val="70CF59C3"/>
    <w:rsid w:val="70EB475C"/>
    <w:rsid w:val="72B27B5F"/>
    <w:rsid w:val="734C0AC1"/>
    <w:rsid w:val="737E4439"/>
    <w:rsid w:val="73B92623"/>
    <w:rsid w:val="746D0E7A"/>
    <w:rsid w:val="749B7A5D"/>
    <w:rsid w:val="75014A1B"/>
    <w:rsid w:val="75E8337D"/>
    <w:rsid w:val="76136DEC"/>
    <w:rsid w:val="76F140CA"/>
    <w:rsid w:val="772462D2"/>
    <w:rsid w:val="78863195"/>
    <w:rsid w:val="7A9B68AB"/>
    <w:rsid w:val="7D734D87"/>
    <w:rsid w:val="7E9C4954"/>
    <w:rsid w:val="7EE30820"/>
    <w:rsid w:val="7FC93EBA"/>
  </w:rsids>
  <m:mathPr>
    <m:mathFont m:val="Cambria Math"/>
    <m:brkBin m:val="before"/>
    <m:brkBinSub m:val="--"/>
    <m:smallFrac m:val="1"/>
    <m:dispDef/>
    <m:lMargin m:val="0"/>
    <m:rMargin m:val="0"/>
    <m:defJc m:val="centerGroup"/>
    <m:wrapIndent m:val="1440"/>
    <m:intLim m:val="subSup"/>
    <m:naryLim m:val="undOvr"/>
  </m:mathPr>
  <w:themeFontLang w:val="en-US" w:eastAsia="zh-CN" w:bidi="bo-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1">
    <w:name w:val="Default Paragraph Font"/>
    <w:semiHidden/>
    <w:unhideWhenUsed/>
    <w:qFormat/>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styleId="2">
    <w:name w:val="Plain Text"/>
    <w:basedOn w:val="1"/>
    <w:unhideWhenUsed/>
    <w:qFormat/>
    <w:uiPriority w:val="99"/>
    <w:rPr>
      <w:rFonts w:ascii="宋体" w:hAnsi="Courier New" w:eastAsia="宋体" w:cs="Times New Roman"/>
      <w:kern w:val="0"/>
      <w:sz w:val="20"/>
      <w:szCs w:val="20"/>
    </w:rPr>
  </w:style>
  <w:style w:type="paragraph" w:styleId="3">
    <w:name w:val="Normal Indent"/>
    <w:basedOn w:val="1"/>
    <w:qFormat/>
    <w:uiPriority w:val="99"/>
    <w:pPr>
      <w:ind w:firstLine="420" w:firstLineChars="200"/>
    </w:pPr>
    <w:rPr>
      <w:rFonts w:ascii="Times New Roman" w:hAnsi="Times New Roman" w:eastAsia="仿宋"/>
    </w:rPr>
  </w:style>
  <w:style w:type="paragraph" w:styleId="4">
    <w:name w:val="annotation text"/>
    <w:basedOn w:val="1"/>
    <w:link w:val="16"/>
    <w:qFormat/>
    <w:uiPriority w:val="0"/>
    <w:pPr>
      <w:jc w:val="left"/>
    </w:pPr>
  </w:style>
  <w:style w:type="paragraph" w:styleId="5">
    <w:name w:val="Balloon Text"/>
    <w:basedOn w:val="1"/>
    <w:link w:val="18"/>
    <w:uiPriority w:val="0"/>
    <w:rPr>
      <w:sz w:val="18"/>
      <w:szCs w:val="18"/>
    </w:rPr>
  </w:style>
  <w:style w:type="paragraph" w:styleId="6">
    <w:name w:val="footer"/>
    <w:basedOn w:val="1"/>
    <w:link w:val="15"/>
    <w:qFormat/>
    <w:uiPriority w:val="0"/>
    <w:pPr>
      <w:tabs>
        <w:tab w:val="center" w:pos="4153"/>
        <w:tab w:val="right" w:pos="8306"/>
      </w:tabs>
      <w:snapToGrid w:val="0"/>
      <w:jc w:val="left"/>
    </w:pPr>
    <w:rPr>
      <w:sz w:val="18"/>
      <w:szCs w:val="18"/>
    </w:rPr>
  </w:style>
  <w:style w:type="paragraph" w:styleId="7">
    <w:name w:val="header"/>
    <w:basedOn w:val="1"/>
    <w:link w:val="14"/>
    <w:qFormat/>
    <w:uiPriority w:val="0"/>
    <w:pPr>
      <w:pBdr>
        <w:bottom w:val="single" w:color="auto" w:sz="6" w:space="1"/>
      </w:pBdr>
      <w:tabs>
        <w:tab w:val="center" w:pos="4153"/>
        <w:tab w:val="right" w:pos="8306"/>
      </w:tabs>
      <w:snapToGrid w:val="0"/>
      <w:jc w:val="center"/>
    </w:pPr>
    <w:rPr>
      <w:sz w:val="18"/>
      <w:szCs w:val="18"/>
    </w:rPr>
  </w:style>
  <w:style w:type="paragraph" w:styleId="8">
    <w:name w:val="annotation subject"/>
    <w:basedOn w:val="4"/>
    <w:next w:val="4"/>
    <w:link w:val="17"/>
    <w:qFormat/>
    <w:uiPriority w:val="0"/>
    <w:rPr>
      <w:b/>
      <w:bCs/>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2">
    <w:name w:val="annotation reference"/>
    <w:basedOn w:val="11"/>
    <w:uiPriority w:val="0"/>
    <w:rPr>
      <w:sz w:val="21"/>
      <w:szCs w:val="21"/>
    </w:rPr>
  </w:style>
  <w:style w:type="character" w:customStyle="1" w:styleId="13">
    <w:name w:val="fontstyle01"/>
    <w:qFormat/>
    <w:uiPriority w:val="0"/>
    <w:rPr>
      <w:rFonts w:hint="eastAsia" w:ascii="宋体" w:hAnsi="宋体" w:eastAsia="宋体"/>
      <w:color w:val="000000"/>
      <w:sz w:val="22"/>
      <w:szCs w:val="22"/>
    </w:rPr>
  </w:style>
  <w:style w:type="character" w:customStyle="1" w:styleId="14">
    <w:name w:val="页眉 Char"/>
    <w:basedOn w:val="11"/>
    <w:link w:val="7"/>
    <w:qFormat/>
    <w:uiPriority w:val="0"/>
    <w:rPr>
      <w:rFonts w:asciiTheme="minorHAnsi" w:hAnsiTheme="minorHAnsi" w:eastAsiaTheme="minorEastAsia" w:cstheme="minorBidi"/>
      <w:kern w:val="2"/>
      <w:sz w:val="18"/>
      <w:szCs w:val="18"/>
      <w:lang w:bidi="ar-SA"/>
    </w:rPr>
  </w:style>
  <w:style w:type="character" w:customStyle="1" w:styleId="15">
    <w:name w:val="页脚 Char"/>
    <w:basedOn w:val="11"/>
    <w:link w:val="6"/>
    <w:uiPriority w:val="0"/>
    <w:rPr>
      <w:rFonts w:asciiTheme="minorHAnsi" w:hAnsiTheme="minorHAnsi" w:eastAsiaTheme="minorEastAsia" w:cstheme="minorBidi"/>
      <w:kern w:val="2"/>
      <w:sz w:val="18"/>
      <w:szCs w:val="18"/>
      <w:lang w:bidi="ar-SA"/>
    </w:rPr>
  </w:style>
  <w:style w:type="character" w:customStyle="1" w:styleId="16">
    <w:name w:val="批注文字 Char"/>
    <w:basedOn w:val="11"/>
    <w:link w:val="4"/>
    <w:qFormat/>
    <w:uiPriority w:val="0"/>
    <w:rPr>
      <w:rFonts w:asciiTheme="minorHAnsi" w:hAnsiTheme="minorHAnsi" w:eastAsiaTheme="minorEastAsia" w:cstheme="minorBidi"/>
      <w:kern w:val="2"/>
      <w:sz w:val="21"/>
      <w:szCs w:val="24"/>
    </w:rPr>
  </w:style>
  <w:style w:type="character" w:customStyle="1" w:styleId="17">
    <w:name w:val="批注主题 Char"/>
    <w:basedOn w:val="16"/>
    <w:link w:val="8"/>
    <w:uiPriority w:val="0"/>
    <w:rPr>
      <w:rFonts w:asciiTheme="minorHAnsi" w:hAnsiTheme="minorHAnsi" w:eastAsiaTheme="minorEastAsia" w:cstheme="minorBidi"/>
      <w:b/>
      <w:bCs/>
      <w:kern w:val="2"/>
      <w:sz w:val="21"/>
      <w:szCs w:val="24"/>
    </w:rPr>
  </w:style>
  <w:style w:type="character" w:customStyle="1" w:styleId="18">
    <w:name w:val="批注框文本 Char"/>
    <w:basedOn w:val="11"/>
    <w:link w:val="5"/>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1572</Words>
  <Characters>1718</Characters>
  <Lines>13</Lines>
  <Paragraphs>3</Paragraphs>
  <TotalTime>1</TotalTime>
  <ScaleCrop>false</ScaleCrop>
  <LinksUpToDate>false</LinksUpToDate>
  <CharactersWithSpaces>1798</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WPS_1642476752</cp:lastModifiedBy>
  <dcterms:modified xsi:type="dcterms:W3CDTF">2022-04-18T07:47:57Z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1250C97BC33E47AC9002D671E34E9F18</vt:lpwstr>
  </property>
</Properties>
</file>