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方正小标宋简体" w:cs="Times New Roman"/>
          <w:sz w:val="32"/>
          <w:szCs w:val="32"/>
        </w:rPr>
      </w:pPr>
      <w:r>
        <w:rPr>
          <w:rFonts w:hint="default" w:ascii="Times New Roman" w:hAnsi="Times New Roman" w:eastAsia="方正小标宋简体" w:cs="Times New Roman"/>
          <w:sz w:val="32"/>
          <w:szCs w:val="32"/>
        </w:rPr>
        <w:t>西藏自治区婴幼儿及儿童纺织产品质量监督抽查实施细则</w:t>
      </w:r>
    </w:p>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方正小标宋简体" w:cs="Times New Roman"/>
          <w:color w:val="000000"/>
          <w:sz w:val="32"/>
          <w:szCs w:val="32"/>
        </w:rPr>
      </w:pPr>
      <w:r>
        <w:rPr>
          <w:rFonts w:hint="default" w:ascii="Times New Roman" w:hAnsi="Times New Roman" w:eastAsia="方正小标宋简体" w:cs="Times New Roman"/>
          <w:color w:val="000000"/>
          <w:sz w:val="32"/>
          <w:szCs w:val="32"/>
        </w:rPr>
        <w:t>（202</w:t>
      </w:r>
      <w:r>
        <w:rPr>
          <w:rFonts w:hint="default" w:ascii="Times New Roman" w:hAnsi="Times New Roman" w:eastAsia="方正小标宋简体" w:cs="Times New Roman"/>
          <w:color w:val="000000"/>
          <w:sz w:val="32"/>
          <w:szCs w:val="32"/>
          <w:lang w:val="en-US" w:eastAsia="zh-CN"/>
        </w:rPr>
        <w:t>2</w:t>
      </w:r>
      <w:r>
        <w:rPr>
          <w:rFonts w:hint="default" w:ascii="Times New Roman" w:hAnsi="Times New Roman" w:eastAsia="方正小标宋简体" w:cs="Times New Roman"/>
          <w:color w:val="000000"/>
          <w:sz w:val="32"/>
          <w:szCs w:val="32"/>
        </w:rPr>
        <w:t>年版）</w:t>
      </w:r>
    </w:p>
    <w:p>
      <w:pPr>
        <w:pStyle w:val="2"/>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1 范围</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本细则适用于西藏自治区市场监督管理局组织的婴幼儿及儿童纺织产品质量监督抽查检验（不包含网络电商平台抽样）。</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本细则内容包括产品种类、术语和定义、检验依据、抽样要求、检验要求、判定规则、异议处理及附则。</w:t>
      </w:r>
    </w:p>
    <w:p>
      <w:pPr>
        <w:pStyle w:val="2"/>
        <w:rPr>
          <w:rFonts w:hint="default"/>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2 产品种类</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2.1婴幼儿及儿童纺织产品。</w:t>
      </w:r>
    </w:p>
    <w:p>
      <w:pPr>
        <w:pStyle w:val="2"/>
        <w:rPr>
          <w:rFonts w:hint="default"/>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3 术语和定义</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本细则中未列出的术语和定义同相关引用标准。</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3.1婴幼儿纺织产品</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年龄在36个月及以下的婴幼儿穿着或使用的纺织产品。</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注：一般适用于身高100cm及以下婴幼儿穿着或使用的纺织产品可作为婴幼儿纺织产品。</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3.2儿童纺织产品</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年龄在3岁以上，14岁及以下的儿童穿着或使用的纺织产品。</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注：一般适用于身高100cm以上、155cm及以下女童或160cm及以下男童穿着或使用的纺织产品可作为儿童纺织产品。</w:t>
      </w:r>
    </w:p>
    <w:p>
      <w:pPr>
        <w:pStyle w:val="2"/>
        <w:rPr>
          <w:rFonts w:hint="default"/>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4 检验依据</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w:t>
      </w:r>
      <w:r>
        <w:rPr>
          <w:rFonts w:hint="default" w:ascii="Times New Roman" w:hAnsi="Times New Roman" w:eastAsia="宋体" w:cs="Times New Roman"/>
          <w:sz w:val="21"/>
          <w:szCs w:val="21"/>
        </w:rPr>
        <w:t xml:space="preserve"> 18401   </w:t>
      </w:r>
      <w:r>
        <w:rPr>
          <w:rFonts w:hint="default" w:ascii="Times New Roman" w:hAnsi="Times New Roman" w:eastAsia="宋体" w:cs="Times New Roman"/>
          <w:sz w:val="21"/>
          <w:szCs w:val="21"/>
        </w:rPr>
        <w:t>国家纺织产品基本安全技术规范</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31701</w:t>
      </w:r>
      <w:r>
        <w:rPr>
          <w:rFonts w:hint="default" w:ascii="Times New Roman" w:hAnsi="Times New Roman" w:eastAsia="宋体" w:cs="Times New Roman"/>
          <w:sz w:val="21"/>
          <w:szCs w:val="21"/>
        </w:rPr>
        <w:t xml:space="preserve">   婴幼儿及儿童纺织产品安全技术规范</w:t>
      </w:r>
    </w:p>
    <w:p>
      <w:pPr>
        <w:keepNext w:val="0"/>
        <w:keepLines w:val="0"/>
        <w:pageBreakBefore w:val="0"/>
        <w:widowControl w:val="0"/>
        <w:kinsoku/>
        <w:wordWrap/>
        <w:overflowPunct/>
        <w:topLinePunct w:val="0"/>
        <w:autoSpaceDE/>
        <w:autoSpaceDN/>
        <w:bidi w:val="0"/>
        <w:adjustRightInd/>
        <w:spacing w:line="440" w:lineRule="exact"/>
        <w:ind w:left="420" w:leftChars="200" w:firstLine="0" w:firstLineChars="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31900</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rPr>
        <w:t>机织儿童服装</w:t>
      </w:r>
      <w:r>
        <w:rPr>
          <w:rFonts w:hint="default" w:ascii="Times New Roman" w:hAnsi="Times New Roman" w:eastAsia="宋体" w:cs="Times New Roman"/>
          <w:sz w:val="21"/>
          <w:szCs w:val="21"/>
        </w:rPr>
        <w:br w:type="textWrapping"/>
      </w:r>
      <w:bookmarkStart w:id="0" w:name="_GoBack"/>
      <w:bookmarkEnd w:id="0"/>
      <w:r>
        <w:rPr>
          <w:rFonts w:hint="default" w:ascii="Times New Roman" w:hAnsi="Times New Roman" w:eastAsia="宋体" w:cs="Times New Roman"/>
          <w:sz w:val="21"/>
          <w:szCs w:val="21"/>
        </w:rPr>
        <w:t>GB/T 33271</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rPr>
        <w:t>机织婴幼儿服装</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FZ/T 73025</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rPr>
        <w:t>婴幼儿针织服饰</w:t>
      </w:r>
      <w:r>
        <w:rPr>
          <w:rFonts w:hint="default" w:ascii="Times New Roman" w:hAnsi="Times New Roman" w:eastAsia="宋体" w:cs="Times New Roman"/>
          <w:sz w:val="21"/>
          <w:szCs w:val="21"/>
        </w:rPr>
        <w:br w:type="textWrapping"/>
      </w:r>
      <w:r>
        <w:rPr>
          <w:rFonts w:hint="default" w:ascii="Times New Roman" w:hAnsi="Times New Roman" w:eastAsia="宋体" w:cs="Times New Roman"/>
          <w:sz w:val="21"/>
          <w:szCs w:val="21"/>
        </w:rPr>
        <w:t>FZ/T 73045</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rPr>
        <w:t>针织儿童服装</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FZ/T 81014</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rPr>
        <w:t>婴幼儿服装</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2912.1  纺织品 甲醛的测定 第1部分：游离和水解的甲醛（水萃取法）</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3920   纺织品 色牢度试验 耐摩擦色牢度</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3922   纺织品 色牢度试验 耐汗渍色牢度</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5713   纺织品 色牢度试验 耐水色牢度</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7573   纺织品 水萃取液pH值的测定</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17592  纺织品 禁用偶氮染料的测定</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23344  纺织品 4-氨基偶氮苯的测定</w:t>
      </w:r>
    </w:p>
    <w:p>
      <w:pPr>
        <w:pStyle w:val="2"/>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GB/T18886   纺织品 色牢度试验 耐唾液色牢度</w:t>
      </w:r>
    </w:p>
    <w:p>
      <w:pPr>
        <w:pStyle w:val="2"/>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GB/T 10111  随机数的产生及其在产品质量抽样检验中的应用程序</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现行有效的企业标准、团体标准、地方标准及产品明示质量要求</w:t>
      </w:r>
      <w:r>
        <w:rPr>
          <w:rFonts w:hint="default" w:ascii="Times New Roman" w:hAnsi="Times New Roman" w:eastAsia="宋体" w:cs="Times New Roman"/>
          <w:sz w:val="21"/>
          <w:szCs w:val="21"/>
        </w:rPr>
        <w:t>。</w:t>
      </w:r>
    </w:p>
    <w:p>
      <w:pPr>
        <w:pStyle w:val="2"/>
        <w:rPr>
          <w:rFonts w:hint="default"/>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5 抽样要求</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5.1 抽样方法</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以随机抽样的方式在被抽样生产者、销售者的待销产品中抽取</w:t>
      </w:r>
      <w:r>
        <w:rPr>
          <w:rFonts w:hint="default" w:ascii="Times New Roman" w:hAnsi="Times New Roman" w:eastAsia="宋体" w:cs="Times New Roman"/>
          <w:sz w:val="21"/>
          <w:szCs w:val="21"/>
        </w:rPr>
        <w:t>。</w:t>
      </w:r>
      <w:r>
        <w:rPr>
          <w:rFonts w:hint="default" w:ascii="Times New Roman" w:hAnsi="Times New Roman" w:eastAsia="宋体" w:cs="Times New Roman"/>
          <w:sz w:val="21"/>
          <w:szCs w:val="21"/>
        </w:rPr>
        <w:t>随机数一般可使用随机数表等方法产生。</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5.2 抽样数量</w:t>
      </w:r>
    </w:p>
    <w:p>
      <w:pPr>
        <w:keepNext w:val="0"/>
        <w:keepLines w:val="0"/>
        <w:pageBreakBefore w:val="0"/>
        <w:widowControl w:val="0"/>
        <w:kinsoku/>
        <w:wordWrap/>
        <w:overflowPunct/>
        <w:topLinePunct w:val="0"/>
        <w:autoSpaceDE/>
        <w:autoSpaceDN/>
        <w:bidi w:val="0"/>
        <w:adjustRightInd/>
        <w:spacing w:line="440" w:lineRule="exact"/>
        <w:ind w:firstLine="371" w:firstLineChars="177"/>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抽样数量基数满足抽样数量即可，抽取4件/套，其中2件/套为备样。如样品面积过小，可适当增加抽样数量，不得超过检验、复检的合理需要。</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5.3 抽样管理</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抽样时样品由抽样人员和被抽样单位陪同人员用不可擦拭的特殊记号笔签字封样或封样单封样。封样单封样时，应保证所有可开启部位的贴封（防止样品被调换）。检测和备用样品应分别封装，并现场在包装上标注“检测样品”和“备用样品”。</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完成抽样后应将所抽取的样品连同抽样单、通知书等相关文书、证明材料一同送至检验单位，样品送达检验单位后，由抽样人员和样品接收人员共同确认样品的状态以及样品及抽样单的一致性等问题，检查并记录样品签字的真实、封样单的完整以及外观状态等情况，必要时可拍照进行记录确认，若无问题对检测和备用样品分别作出唯一标识后入库。</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样品应贮存在阴凉、通风的库房内，平整堆放，高度不宜超过1.5米，避免阳光直射。</w:t>
      </w:r>
    </w:p>
    <w:p>
      <w:pPr>
        <w:pStyle w:val="2"/>
        <w:rPr>
          <w:rFonts w:hint="default"/>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6 检验要求</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6.1 检验项目</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1"/>
        <w:gridCol w:w="3585"/>
        <w:gridCol w:w="35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序号</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检验项目</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1</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甲醛含量</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2912.1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2</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pH值</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7573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3</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异味</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 18401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4</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可分解致癌芳香胺染料</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17592</w:t>
            </w:r>
          </w:p>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23344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5</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耐水色牢度</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5713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6</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耐酸汗渍色牢度</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3922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7</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耐碱汗渍色牢度</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3922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8</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耐干摩擦色牢度</w:t>
            </w:r>
            <w:r>
              <w:rPr>
                <w:rFonts w:hint="default" w:ascii="Times New Roman" w:hAnsi="Times New Roman" w:eastAsia="宋体" w:cs="Times New Roman"/>
                <w:sz w:val="21"/>
                <w:szCs w:val="21"/>
                <w:vertAlign w:val="superscript"/>
              </w:rPr>
              <w:t>a</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3920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51"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9</w:t>
            </w:r>
          </w:p>
        </w:tc>
        <w:tc>
          <w:tcPr>
            <w:tcW w:w="3585"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耐唾液色牢度</w:t>
            </w:r>
            <w:r>
              <w:rPr>
                <w:rFonts w:hint="default" w:ascii="Times New Roman" w:hAnsi="Times New Roman" w:eastAsia="宋体" w:cs="Times New Roman"/>
                <w:sz w:val="21"/>
                <w:szCs w:val="21"/>
                <w:vertAlign w:val="superscript"/>
              </w:rPr>
              <w:t>b</w:t>
            </w:r>
          </w:p>
        </w:tc>
        <w:tc>
          <w:tcPr>
            <w:tcW w:w="3586" w:type="dxa"/>
            <w:vAlign w:val="center"/>
          </w:tcPr>
          <w:p>
            <w:pPr>
              <w:keepNext w:val="0"/>
              <w:keepLines w:val="0"/>
              <w:pageBreakBefore w:val="0"/>
              <w:widowControl w:val="0"/>
              <w:kinsoku/>
              <w:wordWrap/>
              <w:overflowPunct/>
              <w:topLinePunct w:val="0"/>
              <w:autoSpaceDE/>
              <w:autoSpaceDN/>
              <w:bidi w:val="0"/>
              <w:adjustRightInd/>
              <w:spacing w:line="440" w:lineRule="exact"/>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GB/T 18886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3"/>
            <w:vAlign w:val="center"/>
          </w:tcPr>
          <w:p>
            <w:pPr>
              <w:keepNext w:val="0"/>
              <w:keepLines w:val="0"/>
              <w:pageBreakBefore w:val="0"/>
              <w:widowControl w:val="0"/>
              <w:kinsoku/>
              <w:wordWrap/>
              <w:overflowPunct/>
              <w:topLinePunct w:val="0"/>
              <w:autoSpaceDE/>
              <w:autoSpaceDN/>
              <w:bidi w:val="0"/>
              <w:adjustRightInd/>
              <w:spacing w:line="440" w:lineRule="exact"/>
              <w:jc w:val="left"/>
              <w:textAlignment w:val="auto"/>
              <w:rPr>
                <w:rFonts w:hint="default" w:ascii="Times New Roman" w:hAnsi="Times New Roman" w:eastAsia="宋体" w:cs="Times New Roman"/>
                <w:kern w:val="0"/>
                <w:sz w:val="21"/>
                <w:szCs w:val="21"/>
              </w:rPr>
            </w:pPr>
            <w:r>
              <w:rPr>
                <w:rFonts w:hint="default" w:ascii="Times New Roman" w:hAnsi="Times New Roman" w:eastAsia="宋体" w:cs="Times New Roman"/>
                <w:sz w:val="21"/>
                <w:szCs w:val="21"/>
              </w:rPr>
              <w:t>注：</w:t>
            </w:r>
            <w:r>
              <w:rPr>
                <w:rFonts w:hint="default" w:ascii="Times New Roman" w:hAnsi="Times New Roman" w:eastAsia="宋体" w:cs="Times New Roman"/>
                <w:color w:val="000000"/>
                <w:sz w:val="21"/>
                <w:szCs w:val="21"/>
                <w:vertAlign w:val="superscript"/>
              </w:rPr>
              <w:t xml:space="preserve">a  </w:t>
            </w:r>
            <w:r>
              <w:rPr>
                <w:rFonts w:hint="default" w:ascii="Times New Roman" w:hAnsi="Times New Roman" w:eastAsia="宋体" w:cs="Times New Roman"/>
                <w:kern w:val="0"/>
                <w:sz w:val="21"/>
                <w:szCs w:val="21"/>
              </w:rPr>
              <w:t>针织产品只考核直向。</w:t>
            </w:r>
          </w:p>
          <w:p>
            <w:pPr>
              <w:pStyle w:val="2"/>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vertAlign w:val="superscript"/>
              </w:rPr>
              <w:t xml:space="preserve">b </w:t>
            </w:r>
            <w:r>
              <w:rPr>
                <w:rFonts w:hint="default" w:ascii="Times New Roman" w:hAnsi="Times New Roman" w:eastAsia="宋体" w:cs="Times New Roman"/>
                <w:sz w:val="21"/>
                <w:szCs w:val="21"/>
              </w:rPr>
              <w:t>耐唾液色牢度仅考核婴幼儿纺织产品。</w:t>
            </w:r>
          </w:p>
        </w:tc>
      </w:tr>
    </w:tbl>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注：</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1 表中所列检验项目是有关法律法规、标准等规定的，重点涉及健康、安全、节能、环保以及消费者、有关组织反映有质量问题的重要项目。 </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2 检验方法包括相关产品标准及试验方法标准。 </w:t>
      </w: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3 凡是注日期的文件，其随后所有的修改单（不包括勘误的内容）或修订版不适用于本细则。凡是不注日期的文件，其最新版本适用于本细则。 </w:t>
      </w:r>
    </w:p>
    <w:p>
      <w:pPr>
        <w:pStyle w:val="2"/>
        <w:rPr>
          <w:rFonts w:hint="default"/>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7 判定规则</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经检验，检验项目全部合格，判定为被抽查产品合格；检验项目中任一项或一项以上不合格，判定为被抽查产品不合格。</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若被检产品明示的质量要求低于或包含本细则中检验项目依据的推荐性标准要求时，应以被检产品明示的质量要求判定，但应在检验报告备注中进行说明。</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若被检产品明示的质量要求缺少本细则中检验项目依据的推荐性标准要求时，该项目不参与判定，但应在检验报告备注中进行说明。</w:t>
      </w:r>
    </w:p>
    <w:p>
      <w:pPr>
        <w:pStyle w:val="2"/>
        <w:rPr>
          <w:rFonts w:hint="default"/>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8 异议处理</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被抽样生产者、销售者有异议的，应当向组织监督抽查的市场监督管理部门提出书面异议处理申请，并提交相关材料。</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对检验结果有异议的，由组织监督抽查的市场监督管理部门核查相关证据，对需要复检并具备检验条件的，应当组织复检。</w:t>
      </w:r>
    </w:p>
    <w:p>
      <w:pPr>
        <w:pStyle w:val="2"/>
        <w:rPr>
          <w:rFonts w:hint="default"/>
        </w:rPr>
      </w:pPr>
    </w:p>
    <w:p>
      <w:pPr>
        <w:keepNext w:val="0"/>
        <w:keepLines w:val="0"/>
        <w:pageBreakBefore w:val="0"/>
        <w:widowControl w:val="0"/>
        <w:kinsoku/>
        <w:wordWrap/>
        <w:overflowPunct/>
        <w:topLinePunct w:val="0"/>
        <w:autoSpaceDE/>
        <w:autoSpaceDN/>
        <w:bidi w:val="0"/>
        <w:adjustRightInd/>
        <w:spacing w:line="440" w:lineRule="exact"/>
        <w:textAlignment w:val="auto"/>
        <w:rPr>
          <w:rFonts w:hint="default" w:ascii="Times New Roman" w:hAnsi="Times New Roman" w:eastAsia="黑体" w:cs="Times New Roman"/>
          <w:sz w:val="21"/>
          <w:szCs w:val="21"/>
        </w:rPr>
      </w:pPr>
      <w:r>
        <w:rPr>
          <w:rFonts w:hint="default" w:ascii="Times New Roman" w:hAnsi="Times New Roman" w:eastAsia="黑体" w:cs="Times New Roman"/>
          <w:sz w:val="21"/>
          <w:szCs w:val="21"/>
        </w:rPr>
        <w:t>9 附则</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本细则由西藏自治区产品质量监督检验所编制。</w:t>
      </w:r>
    </w:p>
    <w:p>
      <w:pPr>
        <w:keepNext w:val="0"/>
        <w:keepLines w:val="0"/>
        <w:pageBreakBefore w:val="0"/>
        <w:widowControl w:val="0"/>
        <w:kinsoku/>
        <w:wordWrap/>
        <w:overflowPunct/>
        <w:topLinePunct w:val="0"/>
        <w:autoSpaceDE/>
        <w:autoSpaceDN/>
        <w:bidi w:val="0"/>
        <w:adjustRightInd/>
        <w:spacing w:line="44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本细则由西藏自治区市场监督管理局产品质量安全监督抽查处管理。</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Microsoft Himalaya">
    <w:panose1 w:val="01010100010101010101"/>
    <w:charset w:val="00"/>
    <w:family w:val="auto"/>
    <w:pitch w:val="default"/>
    <w:sig w:usb0="80000003" w:usb1="00010000" w:usb2="00000040" w:usb3="00000000" w:csb0="00000001"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5A6D56"/>
    <w:rsid w:val="001F0AD6"/>
    <w:rsid w:val="002A461C"/>
    <w:rsid w:val="00376C30"/>
    <w:rsid w:val="004F7D0C"/>
    <w:rsid w:val="005A6D56"/>
    <w:rsid w:val="00796095"/>
    <w:rsid w:val="008959A8"/>
    <w:rsid w:val="008A5DF8"/>
    <w:rsid w:val="00995461"/>
    <w:rsid w:val="009D3979"/>
    <w:rsid w:val="00B2265C"/>
    <w:rsid w:val="00D10603"/>
    <w:rsid w:val="00DB6FBA"/>
    <w:rsid w:val="01E22095"/>
    <w:rsid w:val="03092820"/>
    <w:rsid w:val="03B60BF9"/>
    <w:rsid w:val="04A20987"/>
    <w:rsid w:val="04BA0D70"/>
    <w:rsid w:val="04C42EA2"/>
    <w:rsid w:val="04D83B6A"/>
    <w:rsid w:val="055C0FAB"/>
    <w:rsid w:val="0621040A"/>
    <w:rsid w:val="07391925"/>
    <w:rsid w:val="09892A05"/>
    <w:rsid w:val="09D35BF6"/>
    <w:rsid w:val="0A577EA6"/>
    <w:rsid w:val="0AFE344A"/>
    <w:rsid w:val="0C6531BD"/>
    <w:rsid w:val="0C712FBD"/>
    <w:rsid w:val="0C7F12F7"/>
    <w:rsid w:val="0CCF38FF"/>
    <w:rsid w:val="0DEE56BA"/>
    <w:rsid w:val="0FE31B58"/>
    <w:rsid w:val="1037379A"/>
    <w:rsid w:val="106E264D"/>
    <w:rsid w:val="115A63CB"/>
    <w:rsid w:val="118A13C5"/>
    <w:rsid w:val="11BA57FF"/>
    <w:rsid w:val="120237D7"/>
    <w:rsid w:val="123A3DD7"/>
    <w:rsid w:val="12F8527E"/>
    <w:rsid w:val="13AC4B87"/>
    <w:rsid w:val="147B1CC2"/>
    <w:rsid w:val="15C2502C"/>
    <w:rsid w:val="16A85E99"/>
    <w:rsid w:val="16E66CA8"/>
    <w:rsid w:val="197F131F"/>
    <w:rsid w:val="199143EE"/>
    <w:rsid w:val="1ADE6BE3"/>
    <w:rsid w:val="1C2F094C"/>
    <w:rsid w:val="1C90227C"/>
    <w:rsid w:val="1C98639D"/>
    <w:rsid w:val="1DF24184"/>
    <w:rsid w:val="1DF52155"/>
    <w:rsid w:val="1E425E0F"/>
    <w:rsid w:val="1EFF4DAB"/>
    <w:rsid w:val="20CC7DDB"/>
    <w:rsid w:val="21D44790"/>
    <w:rsid w:val="23C02279"/>
    <w:rsid w:val="25796649"/>
    <w:rsid w:val="293B1047"/>
    <w:rsid w:val="2A2658E2"/>
    <w:rsid w:val="2B7C25B4"/>
    <w:rsid w:val="2DC810BF"/>
    <w:rsid w:val="2DDE357F"/>
    <w:rsid w:val="2E064A6C"/>
    <w:rsid w:val="2EBF68AD"/>
    <w:rsid w:val="2F5514A4"/>
    <w:rsid w:val="31D87E64"/>
    <w:rsid w:val="321B1AA4"/>
    <w:rsid w:val="321B766A"/>
    <w:rsid w:val="321D1044"/>
    <w:rsid w:val="32997EC6"/>
    <w:rsid w:val="341B4A8C"/>
    <w:rsid w:val="35126805"/>
    <w:rsid w:val="35352E7D"/>
    <w:rsid w:val="36DF1167"/>
    <w:rsid w:val="3B037579"/>
    <w:rsid w:val="3B2F036E"/>
    <w:rsid w:val="3B4A51A8"/>
    <w:rsid w:val="3C482015"/>
    <w:rsid w:val="3CF61143"/>
    <w:rsid w:val="3CF74EBC"/>
    <w:rsid w:val="3D18555E"/>
    <w:rsid w:val="3D211F38"/>
    <w:rsid w:val="3D7E1C21"/>
    <w:rsid w:val="3F9702CA"/>
    <w:rsid w:val="3FC87482"/>
    <w:rsid w:val="408C5260"/>
    <w:rsid w:val="41855BCB"/>
    <w:rsid w:val="41C55588"/>
    <w:rsid w:val="43BE1B82"/>
    <w:rsid w:val="43E010AB"/>
    <w:rsid w:val="452A328D"/>
    <w:rsid w:val="470B35D1"/>
    <w:rsid w:val="47E31325"/>
    <w:rsid w:val="486A7600"/>
    <w:rsid w:val="488937B4"/>
    <w:rsid w:val="4961028C"/>
    <w:rsid w:val="4A1E1CDA"/>
    <w:rsid w:val="4A520AB3"/>
    <w:rsid w:val="4AE32F36"/>
    <w:rsid w:val="4B097BF2"/>
    <w:rsid w:val="4B7F1109"/>
    <w:rsid w:val="4C707740"/>
    <w:rsid w:val="4E1F1EAC"/>
    <w:rsid w:val="4ED6366F"/>
    <w:rsid w:val="506A1724"/>
    <w:rsid w:val="50CA095D"/>
    <w:rsid w:val="518C7E71"/>
    <w:rsid w:val="519D207E"/>
    <w:rsid w:val="53240614"/>
    <w:rsid w:val="533237F6"/>
    <w:rsid w:val="54696247"/>
    <w:rsid w:val="549B217C"/>
    <w:rsid w:val="54E029AD"/>
    <w:rsid w:val="5856759A"/>
    <w:rsid w:val="58B5343B"/>
    <w:rsid w:val="5A23076E"/>
    <w:rsid w:val="5B3648CE"/>
    <w:rsid w:val="5B7D11B9"/>
    <w:rsid w:val="61842912"/>
    <w:rsid w:val="62E018F9"/>
    <w:rsid w:val="63F027F1"/>
    <w:rsid w:val="64DB373E"/>
    <w:rsid w:val="650C50F9"/>
    <w:rsid w:val="65F22540"/>
    <w:rsid w:val="66487045"/>
    <w:rsid w:val="667A42E4"/>
    <w:rsid w:val="66867883"/>
    <w:rsid w:val="66B54875"/>
    <w:rsid w:val="67D60A87"/>
    <w:rsid w:val="69B1626F"/>
    <w:rsid w:val="6A9E5F94"/>
    <w:rsid w:val="6B4D2A2F"/>
    <w:rsid w:val="6CA721E1"/>
    <w:rsid w:val="6CE87DC7"/>
    <w:rsid w:val="6D4274C8"/>
    <w:rsid w:val="6D445FFE"/>
    <w:rsid w:val="6EBA3E17"/>
    <w:rsid w:val="6EC9405A"/>
    <w:rsid w:val="6EF07839"/>
    <w:rsid w:val="6F0E4901"/>
    <w:rsid w:val="6F40431D"/>
    <w:rsid w:val="708A2EF1"/>
    <w:rsid w:val="70CF59C3"/>
    <w:rsid w:val="70EB475C"/>
    <w:rsid w:val="72B27B5F"/>
    <w:rsid w:val="737E4439"/>
    <w:rsid w:val="73B92623"/>
    <w:rsid w:val="746D0E7A"/>
    <w:rsid w:val="749B7A5D"/>
    <w:rsid w:val="75014A1B"/>
    <w:rsid w:val="76136DEC"/>
    <w:rsid w:val="76F140CA"/>
    <w:rsid w:val="772462D2"/>
    <w:rsid w:val="7A9B68AB"/>
    <w:rsid w:val="7D2A5512"/>
    <w:rsid w:val="7D734D87"/>
    <w:rsid w:val="7E9C4954"/>
    <w:rsid w:val="7EE30820"/>
    <w:rsid w:val="7FC93EBA"/>
  </w:rsids>
  <m:mathPr>
    <m:mathFont m:val="Cambria Math"/>
    <m:brkBin m:val="before"/>
    <m:brkBinSub m:val="--"/>
    <m:smallFrac m:val="1"/>
    <m:dispDef/>
    <m:lMargin m:val="0"/>
    <m:rMargin m:val="0"/>
    <m:defJc m:val="centerGroup"/>
    <m:wrapIndent m:val="1440"/>
    <m:intLim m:val="subSup"/>
    <m:naryLim m:val="undOvr"/>
  </m:mathPr>
  <w:themeFontLang w:val="en-US" w:eastAsia="zh-CN" w:bidi="bo-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Plain Text"/>
    <w:basedOn w:val="1"/>
    <w:unhideWhenUsed/>
    <w:qFormat/>
    <w:uiPriority w:val="99"/>
    <w:rPr>
      <w:rFonts w:ascii="宋体" w:hAnsi="Courier New" w:eastAsia="宋体" w:cs="Times New Roman"/>
      <w:kern w:val="0"/>
      <w:sz w:val="20"/>
      <w:szCs w:val="20"/>
    </w:rPr>
  </w:style>
  <w:style w:type="paragraph" w:styleId="3">
    <w:name w:val="Normal Indent"/>
    <w:basedOn w:val="1"/>
    <w:qFormat/>
    <w:uiPriority w:val="99"/>
    <w:pPr>
      <w:ind w:firstLine="420" w:firstLineChars="200"/>
    </w:pPr>
    <w:rPr>
      <w:rFonts w:ascii="Times New Roman" w:hAnsi="Times New Roman" w:eastAsia="仿宋"/>
    </w:rPr>
  </w:style>
  <w:style w:type="paragraph" w:styleId="4">
    <w:name w:val="annotation text"/>
    <w:basedOn w:val="1"/>
    <w:link w:val="16"/>
    <w:qFormat/>
    <w:uiPriority w:val="0"/>
    <w:pPr>
      <w:jc w:val="left"/>
    </w:pPr>
  </w:style>
  <w:style w:type="paragraph" w:styleId="5">
    <w:name w:val="Balloon Text"/>
    <w:basedOn w:val="1"/>
    <w:link w:val="18"/>
    <w:qFormat/>
    <w:uiPriority w:val="0"/>
    <w:rPr>
      <w:sz w:val="18"/>
      <w:szCs w:val="18"/>
    </w:rPr>
  </w:style>
  <w:style w:type="paragraph" w:styleId="6">
    <w:name w:val="footer"/>
    <w:basedOn w:val="1"/>
    <w:link w:val="15"/>
    <w:qFormat/>
    <w:uiPriority w:val="0"/>
    <w:pPr>
      <w:tabs>
        <w:tab w:val="center" w:pos="4153"/>
        <w:tab w:val="right" w:pos="8306"/>
      </w:tabs>
      <w:snapToGrid w:val="0"/>
      <w:jc w:val="left"/>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8">
    <w:name w:val="annotation subject"/>
    <w:basedOn w:val="4"/>
    <w:next w:val="4"/>
    <w:link w:val="17"/>
    <w:qFormat/>
    <w:uiPriority w:val="0"/>
    <w:rPr>
      <w:b/>
      <w:bCs/>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annotation reference"/>
    <w:basedOn w:val="11"/>
    <w:qFormat/>
    <w:uiPriority w:val="0"/>
    <w:rPr>
      <w:sz w:val="21"/>
      <w:szCs w:val="21"/>
    </w:rPr>
  </w:style>
  <w:style w:type="character" w:customStyle="1" w:styleId="13">
    <w:name w:val="fontstyle01"/>
    <w:qFormat/>
    <w:uiPriority w:val="0"/>
    <w:rPr>
      <w:rFonts w:hint="eastAsia" w:ascii="宋体" w:hAnsi="宋体" w:eastAsia="宋体"/>
      <w:color w:val="000000"/>
      <w:sz w:val="22"/>
      <w:szCs w:val="22"/>
    </w:rPr>
  </w:style>
  <w:style w:type="character" w:customStyle="1" w:styleId="14">
    <w:name w:val="页眉 Char"/>
    <w:basedOn w:val="11"/>
    <w:link w:val="7"/>
    <w:qFormat/>
    <w:uiPriority w:val="0"/>
    <w:rPr>
      <w:rFonts w:asciiTheme="minorHAnsi" w:hAnsiTheme="minorHAnsi" w:eastAsiaTheme="minorEastAsia" w:cstheme="minorBidi"/>
      <w:kern w:val="2"/>
      <w:sz w:val="18"/>
      <w:szCs w:val="18"/>
      <w:lang w:bidi="ar-SA"/>
    </w:rPr>
  </w:style>
  <w:style w:type="character" w:customStyle="1" w:styleId="15">
    <w:name w:val="页脚 Char"/>
    <w:basedOn w:val="11"/>
    <w:link w:val="6"/>
    <w:qFormat/>
    <w:uiPriority w:val="0"/>
    <w:rPr>
      <w:rFonts w:asciiTheme="minorHAnsi" w:hAnsiTheme="minorHAnsi" w:eastAsiaTheme="minorEastAsia" w:cstheme="minorBidi"/>
      <w:kern w:val="2"/>
      <w:sz w:val="18"/>
      <w:szCs w:val="18"/>
      <w:lang w:bidi="ar-SA"/>
    </w:rPr>
  </w:style>
  <w:style w:type="character" w:customStyle="1" w:styleId="16">
    <w:name w:val="批注文字 Char"/>
    <w:basedOn w:val="11"/>
    <w:link w:val="4"/>
    <w:qFormat/>
    <w:uiPriority w:val="0"/>
    <w:rPr>
      <w:rFonts w:asciiTheme="minorHAnsi" w:hAnsiTheme="minorHAnsi" w:eastAsiaTheme="minorEastAsia" w:cstheme="minorBidi"/>
      <w:kern w:val="2"/>
      <w:sz w:val="21"/>
      <w:szCs w:val="24"/>
    </w:rPr>
  </w:style>
  <w:style w:type="character" w:customStyle="1" w:styleId="17">
    <w:name w:val="批注主题 Char"/>
    <w:basedOn w:val="16"/>
    <w:link w:val="8"/>
    <w:qFormat/>
    <w:uiPriority w:val="0"/>
    <w:rPr>
      <w:rFonts w:asciiTheme="minorHAnsi" w:hAnsiTheme="minorHAnsi" w:eastAsiaTheme="minorEastAsia" w:cstheme="minorBidi"/>
      <w:b/>
      <w:bCs/>
      <w:kern w:val="2"/>
      <w:sz w:val="21"/>
      <w:szCs w:val="24"/>
    </w:rPr>
  </w:style>
  <w:style w:type="character" w:customStyle="1" w:styleId="18">
    <w:name w:val="批注框文本 Char"/>
    <w:basedOn w:val="11"/>
    <w:link w:val="5"/>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1792</Words>
  <Characters>2002</Characters>
  <Lines>16</Lines>
  <Paragraphs>4</Paragraphs>
  <TotalTime>1</TotalTime>
  <ScaleCrop>false</ScaleCrop>
  <LinksUpToDate>false</LinksUpToDate>
  <CharactersWithSpaces>2105</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WPS_1642476752</cp:lastModifiedBy>
  <dcterms:modified xsi:type="dcterms:W3CDTF">2022-04-18T07:46:37Z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1250C97BC33E47AC9002D671E34E9F18</vt:lpwstr>
  </property>
</Properties>
</file>