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西藏自治区藏装产品质量监督抽查实施细则</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rPr>
        <w:t>（202</w:t>
      </w:r>
      <w:r>
        <w:rPr>
          <w:rFonts w:hint="default" w:ascii="Times New Roman" w:hAnsi="Times New Roman" w:eastAsia="方正小标宋简体" w:cs="Times New Roman"/>
          <w:color w:val="000000"/>
          <w:sz w:val="32"/>
          <w:szCs w:val="32"/>
          <w:lang w:val="en-US" w:eastAsia="zh-CN"/>
        </w:rPr>
        <w:t>2</w:t>
      </w:r>
      <w:r>
        <w:rPr>
          <w:rFonts w:hint="default" w:ascii="Times New Roman" w:hAnsi="Times New Roman" w:eastAsia="方正小标宋简体" w:cs="Times New Roman"/>
          <w:color w:val="000000"/>
          <w:sz w:val="32"/>
          <w:szCs w:val="32"/>
        </w:rPr>
        <w:t>年版）</w:t>
      </w:r>
    </w:p>
    <w:p>
      <w:pPr>
        <w:pStyle w:val="2"/>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 范围</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本细则适用于西藏自治区市场监督管理局组织的藏装产品质量监督抽查检验（不包含网络电商平台抽样）。</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本细则内容包括产品种类、术语和定义、检验依据、抽样要求、检验要求、判定规则、异议处理及附则。</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2 产品种类</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2.1藏装</w:t>
      </w:r>
      <w:r>
        <w:rPr>
          <w:rFonts w:hint="default" w:ascii="Times New Roman" w:hAnsi="Times New Roman" w:eastAsia="宋体" w:cs="Times New Roman"/>
          <w:sz w:val="21"/>
          <w:szCs w:val="21"/>
          <w:lang w:eastAsia="zh-CN"/>
        </w:rPr>
        <w:t>（不包含婴幼儿及儿童藏装）</w:t>
      </w:r>
      <w:r>
        <w:rPr>
          <w:rFonts w:hint="default" w:ascii="Times New Roman" w:hAnsi="Times New Roman" w:eastAsia="宋体" w:cs="Times New Roman"/>
          <w:sz w:val="21"/>
          <w:szCs w:val="21"/>
        </w:rPr>
        <w:t>。</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 术语和定义</w:t>
      </w:r>
    </w:p>
    <w:p>
      <w:pPr>
        <w:keepNext w:val="0"/>
        <w:keepLines w:val="0"/>
        <w:pageBreakBefore w:val="0"/>
        <w:widowControl w:val="0"/>
        <w:kinsoku/>
        <w:wordWrap/>
        <w:overflowPunct/>
        <w:topLinePunct w:val="0"/>
        <w:autoSpaceDE/>
        <w:autoSpaceDN/>
        <w:bidi w:val="0"/>
        <w:adjustRightInd/>
        <w:snapToGrid w:val="0"/>
        <w:spacing w:line="440" w:lineRule="exact"/>
        <w:ind w:firstLine="4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本细则中未列出的术语和定义同相关引用标准。</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4 检验依据</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18401    国家纺织产品基本安全技术规范</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2912.1 纺织品 甲醛的测定 第1部分：游离和水解的甲醛（水萃取法）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3920   纺织品 色牢度试验 耐摩擦色牢度</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3922   纺织品 色牢度试验 耐汗渍色牢度</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5713   纺织品 色牢度试验 耐水色牢度</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7573   纺织品 水萃取液pH值的测定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17592  纺织品 禁用偶氮染料的测定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23344  纺织品 4-氨基偶氮苯的测定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10111  随机数的产生及其在产品质量抽样检验中的应用程序</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现行有效的企业标准、团体标准、地方标准及产品明示质量要求。</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5 抽样要求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 抽样方法</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以随机抽样的方式在被抽样生产者、销售者的待销产品中抽取。随机数一般可使用随机数表等方法产生。</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5.2 抽样数量</w:t>
      </w:r>
    </w:p>
    <w:p>
      <w:pPr>
        <w:keepNext w:val="0"/>
        <w:keepLines w:val="0"/>
        <w:pageBreakBefore w:val="0"/>
        <w:widowControl w:val="0"/>
        <w:kinsoku/>
        <w:wordWrap/>
        <w:overflowPunct/>
        <w:topLinePunct w:val="0"/>
        <w:autoSpaceDE/>
        <w:autoSpaceDN/>
        <w:bidi w:val="0"/>
        <w:adjustRightInd/>
        <w:spacing w:line="440" w:lineRule="exact"/>
        <w:ind w:firstLine="371" w:firstLineChars="177"/>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抽样数量基数满足抽样数量即可，抽取2件，其中1件为备样。如样品面积过小，可适当增加抽样数量，不得超过检验、复检的合理需要。</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 抽样管理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时样品由抽样人员和被抽样单位陪同人员用不可擦拭的特殊记号笔签字封样或封样单封样。封样单封样时，应保证所有可开启部位的贴封（防止样品被调换）。检测和备用样品应分别封装，并现场在包装上标注“检测样品”和“备用样品”。</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完成抽样后应将所抽取的样品连同抽样单、通知书等相关文书、证明材料一同送至检验单位，样品送达检验单位后，由抽样人员和样品接收人员共同确认样品的状态以及样品及抽样单的一致性等问题，检查并记录样品签字的真实、封样单的完整以及外观状态等情况，必要时可拍照进行记录确认，若无问题对检测和备用样品分别作出唯一标识后入库。</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样品应贮存在阴凉、通风的库房内，平整堆放，高度不宜超过1.5米，避免阳光直射。</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6 检验要求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 检验项目</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甲醛含量</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2912.1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pH值</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7573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异味</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18401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可分解致癌芳香胺染料</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17592</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23344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耐水色牢度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5713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耐酸汗渍色牢度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耐碱汗渍色牢度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耐干摩擦色牢度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3920</w:t>
            </w:r>
          </w:p>
        </w:tc>
      </w:tr>
    </w:tbl>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 表中所列检验项目是有关法律法规、标准等规定的，重点涉及健康、安全、节能、环保以及消费者、有关组织反映有质量问题的重要项目。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 检验方法包括相关产品标准及试验方法标准。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 凡是注日期的文件，其随后所有的修改单（不包括勘误的内容）或修订版不适用于本细则。凡是不注日期的文件，其最新版本适用于本细则。 </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7 判定规则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经检验，检验项目全部合格，判定为被抽查产品合格；检验项目中任一项或一项以上不合格，判定为被抽查产品不合格。</w:t>
      </w:r>
      <w:bookmarkStart w:id="0" w:name="_GoBack"/>
      <w:bookmarkEnd w:id="0"/>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若被检产品明示的质量要求低于或包含本细则中检验项目依据的推荐性标准要求时，应以被检产品明示的质量要求判定，但应在检验报告备注中进行说明。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若被检产品明示的质量要求缺少本细则中检验项目依据的推荐性标准要求时，该项目不参与判定，但应在检验报告备注中进行说明。</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8 异议处理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被抽样生产者、销售者有异议的，应当向组织监督抽查的市场监督管理部门提出书面异议处理申请，并提交相关材料。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对检验结果有异议的，由组织监督抽查的市场监督管理部门核查相关证据，对需要复检并具备检验条件的，应当组织复检。</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9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本细则由西藏自治区产品质量监督检验所编制。</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本细则由西藏自治区市场监督管理局产品质量安全监督抽查处管理。</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Microsoft Himalaya">
    <w:panose1 w:val="01010100010101010101"/>
    <w:charset w:val="00"/>
    <w:family w:val="auto"/>
    <w:pitch w:val="default"/>
    <w:sig w:usb0="80000003" w:usb1="00010000" w:usb2="00000040" w:usb3="00000000" w:csb0="00000001"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C83BEA"/>
    <w:rsid w:val="00306596"/>
    <w:rsid w:val="00364FC5"/>
    <w:rsid w:val="003B4D22"/>
    <w:rsid w:val="006B59E1"/>
    <w:rsid w:val="007577E0"/>
    <w:rsid w:val="0088606F"/>
    <w:rsid w:val="00903896"/>
    <w:rsid w:val="00950C2A"/>
    <w:rsid w:val="00981FB1"/>
    <w:rsid w:val="00986121"/>
    <w:rsid w:val="00995461"/>
    <w:rsid w:val="00B82903"/>
    <w:rsid w:val="00B93C29"/>
    <w:rsid w:val="00C16A7A"/>
    <w:rsid w:val="00C21794"/>
    <w:rsid w:val="00C83BEA"/>
    <w:rsid w:val="00E1018D"/>
    <w:rsid w:val="00E151DD"/>
    <w:rsid w:val="00E848F2"/>
    <w:rsid w:val="01E22095"/>
    <w:rsid w:val="03092820"/>
    <w:rsid w:val="03B60BF9"/>
    <w:rsid w:val="04A20987"/>
    <w:rsid w:val="04BA0D70"/>
    <w:rsid w:val="04C42EA2"/>
    <w:rsid w:val="04D83B6A"/>
    <w:rsid w:val="055C0FAB"/>
    <w:rsid w:val="07391925"/>
    <w:rsid w:val="0926277D"/>
    <w:rsid w:val="09892A05"/>
    <w:rsid w:val="09D35BF6"/>
    <w:rsid w:val="0A577EA6"/>
    <w:rsid w:val="0AFE344A"/>
    <w:rsid w:val="0C6531BD"/>
    <w:rsid w:val="0C7F12F7"/>
    <w:rsid w:val="0CCF38FF"/>
    <w:rsid w:val="0DEE56BA"/>
    <w:rsid w:val="0FE31B58"/>
    <w:rsid w:val="1037379A"/>
    <w:rsid w:val="106E264D"/>
    <w:rsid w:val="115A63CB"/>
    <w:rsid w:val="118A13C5"/>
    <w:rsid w:val="11BA57FF"/>
    <w:rsid w:val="120237D7"/>
    <w:rsid w:val="12F8527E"/>
    <w:rsid w:val="13AC4B87"/>
    <w:rsid w:val="147B1CC2"/>
    <w:rsid w:val="15C2502C"/>
    <w:rsid w:val="16296987"/>
    <w:rsid w:val="16A85E99"/>
    <w:rsid w:val="16E66CA8"/>
    <w:rsid w:val="197F131F"/>
    <w:rsid w:val="199143EE"/>
    <w:rsid w:val="19FB1C8C"/>
    <w:rsid w:val="1ADE6BE3"/>
    <w:rsid w:val="1C2F094C"/>
    <w:rsid w:val="1C98639D"/>
    <w:rsid w:val="1DF24184"/>
    <w:rsid w:val="1EFF4DAB"/>
    <w:rsid w:val="20CC7DDB"/>
    <w:rsid w:val="21D44790"/>
    <w:rsid w:val="23C02279"/>
    <w:rsid w:val="25796649"/>
    <w:rsid w:val="293B1047"/>
    <w:rsid w:val="2A2658E2"/>
    <w:rsid w:val="2DC810BF"/>
    <w:rsid w:val="2DDE357F"/>
    <w:rsid w:val="2E064A6C"/>
    <w:rsid w:val="2EBF68AD"/>
    <w:rsid w:val="2F5514A4"/>
    <w:rsid w:val="31D87E64"/>
    <w:rsid w:val="321B1AA4"/>
    <w:rsid w:val="321B766A"/>
    <w:rsid w:val="321D1044"/>
    <w:rsid w:val="32997EC6"/>
    <w:rsid w:val="341B4A8C"/>
    <w:rsid w:val="35126805"/>
    <w:rsid w:val="35352E7D"/>
    <w:rsid w:val="36524105"/>
    <w:rsid w:val="36DF1167"/>
    <w:rsid w:val="39666A94"/>
    <w:rsid w:val="3B037579"/>
    <w:rsid w:val="3B2F036E"/>
    <w:rsid w:val="3B4A51A8"/>
    <w:rsid w:val="3C2327E1"/>
    <w:rsid w:val="3C482015"/>
    <w:rsid w:val="3CF61143"/>
    <w:rsid w:val="3CF74EBC"/>
    <w:rsid w:val="3D18555E"/>
    <w:rsid w:val="3D211F38"/>
    <w:rsid w:val="3D7E1C21"/>
    <w:rsid w:val="3FC87482"/>
    <w:rsid w:val="408C5260"/>
    <w:rsid w:val="41855BCB"/>
    <w:rsid w:val="41C55588"/>
    <w:rsid w:val="43BE1B82"/>
    <w:rsid w:val="43E010AB"/>
    <w:rsid w:val="44BE14A1"/>
    <w:rsid w:val="452A328D"/>
    <w:rsid w:val="457F7746"/>
    <w:rsid w:val="47E31325"/>
    <w:rsid w:val="486A7600"/>
    <w:rsid w:val="488937B4"/>
    <w:rsid w:val="493A7381"/>
    <w:rsid w:val="4961028C"/>
    <w:rsid w:val="4A1E1CDA"/>
    <w:rsid w:val="4AE32F36"/>
    <w:rsid w:val="4B097BF2"/>
    <w:rsid w:val="4C707740"/>
    <w:rsid w:val="4E1F1EAC"/>
    <w:rsid w:val="4ED6366F"/>
    <w:rsid w:val="506A1724"/>
    <w:rsid w:val="50CA095D"/>
    <w:rsid w:val="518C7E71"/>
    <w:rsid w:val="519D207E"/>
    <w:rsid w:val="53240614"/>
    <w:rsid w:val="533237F6"/>
    <w:rsid w:val="54696247"/>
    <w:rsid w:val="549B217C"/>
    <w:rsid w:val="54E029AD"/>
    <w:rsid w:val="5856759A"/>
    <w:rsid w:val="58B5343B"/>
    <w:rsid w:val="5A23076E"/>
    <w:rsid w:val="5B3648CE"/>
    <w:rsid w:val="5B7D11B9"/>
    <w:rsid w:val="5BE7607E"/>
    <w:rsid w:val="61842912"/>
    <w:rsid w:val="62DD5700"/>
    <w:rsid w:val="62E018F9"/>
    <w:rsid w:val="63F027F1"/>
    <w:rsid w:val="648C77FF"/>
    <w:rsid w:val="64DB373E"/>
    <w:rsid w:val="64E70543"/>
    <w:rsid w:val="650C50F9"/>
    <w:rsid w:val="65F22540"/>
    <w:rsid w:val="66487045"/>
    <w:rsid w:val="667A42E4"/>
    <w:rsid w:val="66867883"/>
    <w:rsid w:val="66B54875"/>
    <w:rsid w:val="67D60A87"/>
    <w:rsid w:val="69B1626F"/>
    <w:rsid w:val="6A9E5F94"/>
    <w:rsid w:val="6B4D2A2F"/>
    <w:rsid w:val="6CA721E1"/>
    <w:rsid w:val="6CD50C43"/>
    <w:rsid w:val="6CE87DC7"/>
    <w:rsid w:val="6D4274C8"/>
    <w:rsid w:val="6D445FFE"/>
    <w:rsid w:val="6EBA3E17"/>
    <w:rsid w:val="6EC9405A"/>
    <w:rsid w:val="6EF07839"/>
    <w:rsid w:val="6F0E4901"/>
    <w:rsid w:val="6F40431D"/>
    <w:rsid w:val="700F25B6"/>
    <w:rsid w:val="708A2EF1"/>
    <w:rsid w:val="70CF59C3"/>
    <w:rsid w:val="70EB475C"/>
    <w:rsid w:val="72B27B5F"/>
    <w:rsid w:val="737E4439"/>
    <w:rsid w:val="73B92623"/>
    <w:rsid w:val="746D0E7A"/>
    <w:rsid w:val="749B7A5D"/>
    <w:rsid w:val="75014A1B"/>
    <w:rsid w:val="75CD621C"/>
    <w:rsid w:val="76136DEC"/>
    <w:rsid w:val="76F140CA"/>
    <w:rsid w:val="771527C9"/>
    <w:rsid w:val="772462D2"/>
    <w:rsid w:val="787910E4"/>
    <w:rsid w:val="78EE303B"/>
    <w:rsid w:val="7A9B68AB"/>
    <w:rsid w:val="7B347A07"/>
    <w:rsid w:val="7D734D87"/>
    <w:rsid w:val="7E9C4954"/>
    <w:rsid w:val="7EE30820"/>
    <w:rsid w:val="7FC93EBA"/>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jc w:val="center"/>
      <w:outlineLvl w:val="0"/>
    </w:pPr>
    <w:rPr>
      <w:rFonts w:ascii="方正小标宋简体" w:eastAsia="方正小标宋简体"/>
      <w:kern w:val="44"/>
      <w:sz w:val="3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Times New Roman"/>
      <w:kern w:val="0"/>
      <w:sz w:val="20"/>
      <w:szCs w:val="20"/>
    </w:rPr>
  </w:style>
  <w:style w:type="paragraph" w:styleId="4">
    <w:name w:val="Normal Indent"/>
    <w:basedOn w:val="1"/>
    <w:qFormat/>
    <w:uiPriority w:val="99"/>
    <w:pPr>
      <w:ind w:firstLine="420" w:firstLineChars="200"/>
    </w:pPr>
    <w:rPr>
      <w:rFonts w:ascii="Times New Roman" w:hAnsi="Times New Roman" w:eastAsia="仿宋"/>
    </w:rPr>
  </w:style>
  <w:style w:type="paragraph" w:styleId="5">
    <w:name w:val="annotation text"/>
    <w:basedOn w:val="1"/>
    <w:link w:val="17"/>
    <w:qFormat/>
    <w:uiPriority w:val="0"/>
    <w:pPr>
      <w:jc w:val="left"/>
    </w:pPr>
  </w:style>
  <w:style w:type="paragraph" w:styleId="6">
    <w:name w:val="Balloon Text"/>
    <w:basedOn w:val="1"/>
    <w:link w:val="19"/>
    <w:qFormat/>
    <w:uiPriority w:val="0"/>
    <w:rPr>
      <w:sz w:val="18"/>
      <w:szCs w:val="18"/>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18"/>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qFormat/>
    <w:uiPriority w:val="0"/>
    <w:rPr>
      <w:sz w:val="21"/>
      <w:szCs w:val="21"/>
    </w:rPr>
  </w:style>
  <w:style w:type="character" w:customStyle="1" w:styleId="14">
    <w:name w:val="fontstyle01"/>
    <w:qFormat/>
    <w:uiPriority w:val="0"/>
    <w:rPr>
      <w:rFonts w:hint="eastAsia" w:ascii="宋体" w:hAnsi="宋体" w:eastAsia="宋体"/>
      <w:color w:val="000000"/>
      <w:sz w:val="22"/>
      <w:szCs w:val="22"/>
    </w:rPr>
  </w:style>
  <w:style w:type="character" w:customStyle="1" w:styleId="15">
    <w:name w:val="页眉 Char"/>
    <w:basedOn w:val="12"/>
    <w:link w:val="8"/>
    <w:qFormat/>
    <w:uiPriority w:val="0"/>
    <w:rPr>
      <w:rFonts w:asciiTheme="minorHAnsi" w:hAnsiTheme="minorHAnsi" w:eastAsiaTheme="minorEastAsia" w:cstheme="minorBidi"/>
      <w:kern w:val="2"/>
      <w:sz w:val="18"/>
      <w:szCs w:val="18"/>
      <w:lang w:bidi="ar-SA"/>
    </w:rPr>
  </w:style>
  <w:style w:type="character" w:customStyle="1" w:styleId="16">
    <w:name w:val="页脚 Char"/>
    <w:basedOn w:val="12"/>
    <w:link w:val="7"/>
    <w:qFormat/>
    <w:uiPriority w:val="0"/>
    <w:rPr>
      <w:rFonts w:asciiTheme="minorHAnsi" w:hAnsiTheme="minorHAnsi" w:eastAsiaTheme="minorEastAsia" w:cstheme="minorBidi"/>
      <w:kern w:val="2"/>
      <w:sz w:val="18"/>
      <w:szCs w:val="18"/>
      <w:lang w:bidi="ar-SA"/>
    </w:rPr>
  </w:style>
  <w:style w:type="character" w:customStyle="1" w:styleId="17">
    <w:name w:val="批注文字 Char"/>
    <w:basedOn w:val="12"/>
    <w:link w:val="5"/>
    <w:qFormat/>
    <w:uiPriority w:val="0"/>
    <w:rPr>
      <w:rFonts w:asciiTheme="minorHAnsi" w:hAnsiTheme="minorHAnsi" w:eastAsiaTheme="minorEastAsia" w:cstheme="minorBidi"/>
      <w:kern w:val="2"/>
      <w:sz w:val="21"/>
      <w:szCs w:val="24"/>
    </w:rPr>
  </w:style>
  <w:style w:type="character" w:customStyle="1" w:styleId="18">
    <w:name w:val="批注主题 Char"/>
    <w:basedOn w:val="17"/>
    <w:link w:val="9"/>
    <w:qFormat/>
    <w:uiPriority w:val="0"/>
    <w:rPr>
      <w:rFonts w:asciiTheme="minorHAnsi" w:hAnsiTheme="minorHAnsi" w:eastAsiaTheme="minorEastAsia" w:cstheme="minorBidi"/>
      <w:b/>
      <w:bCs/>
      <w:kern w:val="2"/>
      <w:sz w:val="21"/>
      <w:szCs w:val="24"/>
    </w:rPr>
  </w:style>
  <w:style w:type="character" w:customStyle="1" w:styleId="19">
    <w:name w:val="批注框文本 Char"/>
    <w:basedOn w:val="12"/>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1516</Words>
  <Characters>1649</Characters>
  <Lines>13</Lines>
  <Paragraphs>3</Paragraphs>
  <TotalTime>1</TotalTime>
  <ScaleCrop>false</ScaleCrop>
  <LinksUpToDate>false</LinksUpToDate>
  <CharactersWithSpaces>1720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WPS_1642476752</cp:lastModifiedBy>
  <dcterms:modified xsi:type="dcterms:W3CDTF">2022-04-20T02:38:43Z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1250C97BC33E47AC9002D671E34E9F18</vt:lpwstr>
  </property>
</Properties>
</file>