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西藏自治区眼镜产品质量监督抽查实施细则</w:t>
      </w:r>
    </w:p>
    <w:p>
      <w:pPr>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rPr>
        <w:t>2</w:t>
      </w:r>
      <w:r>
        <w:rPr>
          <w:rFonts w:ascii="Times New Roman" w:hAnsi="Times New Roman" w:eastAsia="方正小标宋简体" w:cs="Times New Roman"/>
          <w:color w:val="000000"/>
          <w:sz w:val="32"/>
          <w:szCs w:val="32"/>
        </w:rPr>
        <w:t>年版）</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本细则适用于西藏自治区市场监督管理局组织的眼镜产品质量监督抽查检验（不包含网络电商平台抽样）。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 定配眼镜；</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 老视成镜；</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2.3 太阳镜。</w:t>
      </w:r>
    </w:p>
    <w:p>
      <w:pPr>
        <w:spacing w:line="440" w:lineRule="exact"/>
        <w:rPr>
          <w:rFonts w:ascii="Times New Roman" w:hAnsi="Times New Roman" w:eastAsia="黑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3.1定配眼镜</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根据验光处方或特定要求定制的框架眼镜。</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3.2老视成镜</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由生产单位批量生产的用于近用的装成眼镜。</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3.4 光学中心水平距离</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两镜片光学中心在与两镜圈几何中心连线平行方向上的距离。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3.5 光学中心水平偏差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光学中心水平距离测量值与瞳距的差值。</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3.6 光学中心水平互差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也为光学中心单侧偏差，即：光学中心单侧水平距离测量值与单侧瞳距的差值。</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3.7 光学中心垂直互差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两镜片光学中心高度的差值。</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3.8 光透射比</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镜片或滤光片的透射光通量与入射光通量之比。</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3.9 其他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其他术语和定义见相应产品标准规定。</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10810.1-2005 眼镜镜片 第1部分:单光和多焦点镜片</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10810.3-2006 眼镜镜片及相关眼镜产品 第3部分:透射比规范及测量方法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13511.1-2011 配装眼镜 第1部分:单光和多焦点</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39552.1-2020太阳镜和太阳镜片 第1部分：通用要求</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39552.2-2020太阳镜和太阳镜片 第2部分：试验方法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10111-2008随机数的产生及其在产品质量抽样检验中的应用程序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 xml:space="preserve">定配眼镜  </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由抽样人员提供验光处方，指定在售的眼镜架、眼镜片，交由被抽查单位现场制作加工后现场封样，需抽取带有柱镜的产品。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老视成镜</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市场待销产品随机抽取有产品质量检验合格证明或者以其他形式表明合格的产品。所抽产品需同型号、同规格、同批次、同顶焦度、同光学中心水平距离，此外，为确保样品的完好有效，每一副老视成镜应有独立的包装，并附有完整的出厂标识标签和说明书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太阳镜</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市场待销产品随机抽取有产品质量检验合格证明或者以其他形式表明合格的产品。所抽产品需相同生产厂、相同品牌，此外，为确保样品的完好有效，每一副太阳镜应有独立的包装，并附有完整的出厂标识标签和说明书等。</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定配眼镜抽样数量为1副，不抽取备用样品，采用原样复检。抽样基数满足抽样数量即可。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老视成镜抽样数量为3副，其中2副作为检验样品，1副作为备用样品。抽样基数满足抽样数量即可。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太阳镜应抽样数量为 2 副，其中1副作为检验样品，1副作为备用样品。抽样基数满足抽样数量即可。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5.3抽样管理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样品应贮存于通风干燥的场所，防止受压、变形。</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当检验项目需要拆卸镜片时，应先完成其他性能的检测。</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 定配眼镜检验项目</w:t>
      </w:r>
    </w:p>
    <w:tbl>
      <w:tblPr>
        <w:tblStyle w:val="10"/>
        <w:tblW w:w="8027" w:type="dxa"/>
        <w:jc w:val="center"/>
        <w:tblLayout w:type="fixed"/>
        <w:tblCellMar>
          <w:top w:w="0" w:type="dxa"/>
          <w:left w:w="108" w:type="dxa"/>
          <w:bottom w:w="0" w:type="dxa"/>
          <w:right w:w="108" w:type="dxa"/>
        </w:tblCellMar>
      </w:tblPr>
      <w:tblGrid>
        <w:gridCol w:w="1003"/>
        <w:gridCol w:w="3871"/>
        <w:gridCol w:w="3153"/>
      </w:tblGrid>
      <w:tr>
        <w:tblPrEx>
          <w:tblCellMar>
            <w:top w:w="0" w:type="dxa"/>
            <w:left w:w="108" w:type="dxa"/>
            <w:bottom w:w="0" w:type="dxa"/>
            <w:right w:w="108" w:type="dxa"/>
          </w:tblCellMar>
        </w:tblPrEx>
        <w:trPr>
          <w:trHeight w:val="624" w:hRule="atLeast"/>
          <w:tblHeader/>
          <w:jc w:val="center"/>
        </w:trPr>
        <w:tc>
          <w:tcPr>
            <w:tcW w:w="1003" w:type="dxa"/>
            <w:vMerge w:val="restart"/>
            <w:tcBorders>
              <w:top w:val="single" w:color="auto" w:sz="4" w:space="0"/>
              <w:left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bookmarkStart w:id="0" w:name="_Toc260140049"/>
            <w:bookmarkStart w:id="1" w:name="_Toc260132005"/>
            <w:r>
              <w:rPr>
                <w:rFonts w:ascii="Times New Roman" w:hAnsi="Times New Roman" w:eastAsia="宋体" w:cs="Times New Roman"/>
                <w:szCs w:val="21"/>
              </w:rPr>
              <w:t>序号</w:t>
            </w:r>
          </w:p>
        </w:tc>
        <w:tc>
          <w:tcPr>
            <w:tcW w:w="3871" w:type="dxa"/>
            <w:vMerge w:val="restart"/>
            <w:tcBorders>
              <w:top w:val="single" w:color="auto" w:sz="4" w:space="0"/>
              <w:left w:val="nil"/>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153" w:type="dxa"/>
            <w:vMerge w:val="restart"/>
            <w:tcBorders>
              <w:top w:val="single" w:color="auto" w:sz="4" w:space="0"/>
              <w:left w:val="nil"/>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CellMar>
            <w:top w:w="0" w:type="dxa"/>
            <w:left w:w="108" w:type="dxa"/>
            <w:bottom w:w="0" w:type="dxa"/>
            <w:right w:w="108" w:type="dxa"/>
          </w:tblCellMar>
        </w:tblPrEx>
        <w:trPr>
          <w:trHeight w:val="454" w:hRule="atLeast"/>
          <w:tblHeader/>
          <w:jc w:val="center"/>
        </w:trPr>
        <w:tc>
          <w:tcPr>
            <w:tcW w:w="1003" w:type="dxa"/>
            <w:vMerge w:val="continue"/>
            <w:tcBorders>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b/>
                <w:bCs/>
                <w:szCs w:val="21"/>
              </w:rPr>
            </w:pPr>
          </w:p>
        </w:tc>
        <w:tc>
          <w:tcPr>
            <w:tcW w:w="3871" w:type="dxa"/>
            <w:vMerge w:val="continue"/>
            <w:tcBorders>
              <w:left w:val="nil"/>
              <w:bottom w:val="single" w:color="auto" w:sz="4" w:space="0"/>
              <w:right w:val="single" w:color="auto" w:sz="4" w:space="0"/>
            </w:tcBorders>
            <w:vAlign w:val="center"/>
          </w:tcPr>
          <w:p>
            <w:pPr>
              <w:spacing w:line="440" w:lineRule="exact"/>
              <w:jc w:val="center"/>
              <w:rPr>
                <w:rFonts w:ascii="Times New Roman" w:hAnsi="Times New Roman" w:eastAsia="宋体" w:cs="Times New Roman"/>
                <w:b/>
                <w:bCs/>
                <w:szCs w:val="21"/>
              </w:rPr>
            </w:pPr>
          </w:p>
        </w:tc>
        <w:tc>
          <w:tcPr>
            <w:tcW w:w="3153" w:type="dxa"/>
            <w:vMerge w:val="continue"/>
            <w:tcBorders>
              <w:left w:val="nil"/>
              <w:bottom w:val="single" w:color="auto" w:sz="4" w:space="0"/>
              <w:right w:val="single" w:color="auto" w:sz="4" w:space="0"/>
            </w:tcBorders>
            <w:vAlign w:val="center"/>
          </w:tcPr>
          <w:p>
            <w:pPr>
              <w:spacing w:line="440" w:lineRule="exact"/>
              <w:jc w:val="center"/>
              <w:rPr>
                <w:rFonts w:ascii="Times New Roman" w:hAnsi="Times New Roman" w:eastAsia="宋体" w:cs="Times New Roman"/>
                <w:b/>
                <w:bCs/>
                <w:szCs w:val="21"/>
              </w:rPr>
            </w:pPr>
          </w:p>
        </w:tc>
      </w:tr>
      <w:tr>
        <w:tblPrEx>
          <w:tblCellMar>
            <w:top w:w="0" w:type="dxa"/>
            <w:left w:w="108" w:type="dxa"/>
            <w:bottom w:w="0" w:type="dxa"/>
            <w:right w:w="108" w:type="dxa"/>
          </w:tblCellMar>
        </w:tblPrEx>
        <w:trPr>
          <w:trHeight w:val="454" w:hRule="atLeast"/>
          <w:jc w:val="center"/>
        </w:trPr>
        <w:tc>
          <w:tcPr>
            <w:tcW w:w="1003"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871"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球镜顶焦度偏差</w:t>
            </w:r>
          </w:p>
        </w:tc>
        <w:tc>
          <w:tcPr>
            <w:tcW w:w="3153"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CellMar>
            <w:top w:w="0" w:type="dxa"/>
            <w:left w:w="108" w:type="dxa"/>
            <w:bottom w:w="0" w:type="dxa"/>
            <w:right w:w="108" w:type="dxa"/>
          </w:tblCellMar>
        </w:tblPrEx>
        <w:trPr>
          <w:trHeight w:val="454" w:hRule="atLeast"/>
          <w:jc w:val="center"/>
        </w:trPr>
        <w:tc>
          <w:tcPr>
            <w:tcW w:w="1003"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871"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柱镜顶焦度偏差</w:t>
            </w:r>
          </w:p>
        </w:tc>
        <w:tc>
          <w:tcPr>
            <w:tcW w:w="3153"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CellMar>
            <w:top w:w="0" w:type="dxa"/>
            <w:left w:w="108" w:type="dxa"/>
            <w:bottom w:w="0" w:type="dxa"/>
            <w:right w:w="108" w:type="dxa"/>
          </w:tblCellMar>
        </w:tblPrEx>
        <w:trPr>
          <w:trHeight w:val="454" w:hRule="atLeast"/>
          <w:jc w:val="center"/>
        </w:trPr>
        <w:tc>
          <w:tcPr>
            <w:tcW w:w="1003" w:type="dxa"/>
            <w:tcBorders>
              <w:top w:val="nil"/>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871"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柱镜轴位方向偏差</w:t>
            </w:r>
          </w:p>
        </w:tc>
        <w:tc>
          <w:tcPr>
            <w:tcW w:w="3153" w:type="dxa"/>
            <w:tcBorders>
              <w:top w:val="nil"/>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光学中心水平距离偏差</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光学中心垂直互差</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光学中心单侧水平偏差</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镜片材料和表面质量</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装配质量</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13511.1-2005</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光透射比</w:t>
            </w:r>
          </w:p>
        </w:tc>
        <w:tc>
          <w:tcPr>
            <w:tcW w:w="31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10810.3-2006</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光透射比相对偏差</w:t>
            </w:r>
          </w:p>
        </w:tc>
        <w:tc>
          <w:tcPr>
            <w:tcW w:w="3153" w:type="dxa"/>
            <w:tcBorders>
              <w:top w:val="single" w:color="auto" w:sz="4" w:space="0"/>
              <w:left w:val="nil"/>
              <w:bottom w:val="single" w:color="auto" w:sz="4" w:space="0"/>
              <w:right w:val="single" w:color="auto" w:sz="4" w:space="0"/>
            </w:tcBorders>
            <w:vAlign w:val="center"/>
          </w:tcPr>
          <w:p>
            <w:pPr>
              <w:adjustRightInd w:val="0"/>
              <w:snapToGrid w:val="0"/>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10810.3-2006</w:t>
            </w:r>
          </w:p>
        </w:tc>
      </w:tr>
      <w:tr>
        <w:tblPrEx>
          <w:tblCellMar>
            <w:top w:w="0" w:type="dxa"/>
            <w:left w:w="108" w:type="dxa"/>
            <w:bottom w:w="0" w:type="dxa"/>
            <w:right w:w="108" w:type="dxa"/>
          </w:tblCellMar>
        </w:tblPrEx>
        <w:trPr>
          <w:trHeight w:val="454" w:hRule="atLeast"/>
          <w:jc w:val="center"/>
        </w:trPr>
        <w:tc>
          <w:tcPr>
            <w:tcW w:w="1003"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11</w:t>
            </w:r>
          </w:p>
        </w:tc>
        <w:tc>
          <w:tcPr>
            <w:tcW w:w="3871"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标志</w:t>
            </w:r>
          </w:p>
        </w:tc>
        <w:tc>
          <w:tcPr>
            <w:tcW w:w="3153" w:type="dxa"/>
            <w:tcBorders>
              <w:top w:val="single" w:color="auto" w:sz="4" w:space="0"/>
              <w:left w:val="nil"/>
              <w:bottom w:val="single" w:color="auto" w:sz="4" w:space="0"/>
              <w:right w:val="single" w:color="auto" w:sz="4" w:space="0"/>
            </w:tcBorders>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目测</w:t>
            </w:r>
          </w:p>
        </w:tc>
      </w:tr>
      <w:bookmarkEnd w:id="0"/>
      <w:bookmarkEnd w:id="1"/>
    </w:tbl>
    <w:p>
      <w:pPr>
        <w:tabs>
          <w:tab w:val="left" w:pos="4770"/>
        </w:tabs>
        <w:spacing w:line="440" w:lineRule="exact"/>
        <w:rPr>
          <w:rFonts w:ascii="Times New Roman" w:hAnsi="Times New Roman" w:eastAsia="宋体" w:cs="Times New Roman"/>
          <w:szCs w:val="21"/>
        </w:rPr>
      </w:pPr>
      <w:r>
        <w:rPr>
          <w:rFonts w:ascii="Times New Roman" w:hAnsi="Times New Roman" w:eastAsia="宋体" w:cs="Times New Roman"/>
          <w:szCs w:val="21"/>
        </w:rPr>
        <w:tab/>
      </w:r>
    </w:p>
    <w:p>
      <w:pPr>
        <w:spacing w:line="440" w:lineRule="exact"/>
        <w:rPr>
          <w:rFonts w:ascii="Times New Roman" w:hAnsi="Times New Roman" w:eastAsia="宋体" w:cs="Times New Roman"/>
          <w:szCs w:val="21"/>
        </w:rPr>
      </w:pPr>
      <w:r>
        <w:rPr>
          <w:rFonts w:ascii="Times New Roman" w:hAnsi="Times New Roman" w:eastAsia="宋体" w:cs="Times New Roman"/>
          <w:szCs w:val="21"/>
        </w:rPr>
        <w:t>6.2 老视成镜检验项目</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
        <w:gridCol w:w="4023"/>
        <w:gridCol w:w="32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球镜顶焦度偏差（主子午面一）</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球镜顶焦度偏差（主子午面二）</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柱镜顶焦度偏差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可见光透射比</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10810.3-2006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光学中心水平距离允差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光学中心单侧水平允差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光学中心垂直互差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13511.1-2011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两镜片顶焦度互差</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10810.1-2005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4"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4023"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装配质量</w:t>
            </w:r>
          </w:p>
        </w:tc>
        <w:tc>
          <w:tcPr>
            <w:tcW w:w="323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13511.1-2011</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6.3 太阳镜检验项目</w:t>
      </w:r>
    </w:p>
    <w:tbl>
      <w:tblPr>
        <w:tblStyle w:val="10"/>
        <w:tblW w:w="79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21"/>
        <w:gridCol w:w="1842"/>
        <w:gridCol w:w="2410"/>
        <w:gridCol w:w="28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624" w:hRule="atLeast"/>
          <w:tblHeader/>
          <w:jc w:val="center"/>
        </w:trPr>
        <w:tc>
          <w:tcPr>
            <w:tcW w:w="821"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4252" w:type="dxa"/>
            <w:gridSpan w:val="2"/>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2888"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40" w:hRule="atLeast"/>
          <w:tblHeader/>
          <w:jc w:val="center"/>
        </w:trPr>
        <w:tc>
          <w:tcPr>
            <w:tcW w:w="821" w:type="dxa"/>
            <w:vMerge w:val="continue"/>
            <w:vAlign w:val="center"/>
          </w:tcPr>
          <w:p>
            <w:pPr>
              <w:spacing w:line="440" w:lineRule="exact"/>
              <w:jc w:val="center"/>
              <w:rPr>
                <w:rFonts w:ascii="Times New Roman" w:hAnsi="Times New Roman" w:eastAsia="宋体" w:cs="Times New Roman"/>
                <w:b/>
                <w:bCs/>
                <w:szCs w:val="21"/>
              </w:rPr>
            </w:pPr>
          </w:p>
        </w:tc>
        <w:tc>
          <w:tcPr>
            <w:tcW w:w="4252" w:type="dxa"/>
            <w:gridSpan w:val="2"/>
            <w:vMerge w:val="continue"/>
            <w:vAlign w:val="center"/>
          </w:tcPr>
          <w:p>
            <w:pPr>
              <w:spacing w:line="440" w:lineRule="exact"/>
              <w:jc w:val="center"/>
              <w:rPr>
                <w:rFonts w:ascii="Times New Roman" w:hAnsi="Times New Roman" w:eastAsia="宋体" w:cs="Times New Roman"/>
                <w:b/>
                <w:bCs/>
                <w:szCs w:val="21"/>
              </w:rPr>
            </w:pPr>
          </w:p>
        </w:tc>
        <w:tc>
          <w:tcPr>
            <w:tcW w:w="2888" w:type="dxa"/>
            <w:vMerge w:val="continue"/>
            <w:vAlign w:val="center"/>
          </w:tcPr>
          <w:p>
            <w:pPr>
              <w:spacing w:line="440" w:lineRule="exact"/>
              <w:jc w:val="center"/>
              <w:rPr>
                <w:rFonts w:ascii="Times New Roman" w:hAnsi="Times New Roman" w:eastAsia="宋体" w:cs="Times New Roman"/>
                <w:b/>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4252" w:type="dxa"/>
            <w:gridSpan w:val="2"/>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结构</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4252" w:type="dxa"/>
            <w:gridSpan w:val="2"/>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镜片材料及表面质量</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4252" w:type="dxa"/>
            <w:gridSpan w:val="2"/>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太阳镜镜片尺寸</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39552.1—2020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4252" w:type="dxa"/>
            <w:gridSpan w:val="2"/>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可见光透射比τ</w:t>
            </w:r>
            <w:r>
              <w:rPr>
                <w:rFonts w:ascii="Times New Roman" w:hAnsi="Times New Roman" w:eastAsia="宋体" w:cs="Times New Roman"/>
                <w:szCs w:val="21"/>
                <w:vertAlign w:val="subscript"/>
              </w:rPr>
              <w:t>V</w:t>
            </w:r>
            <w:r>
              <w:rPr>
                <w:rFonts w:ascii="Times New Roman" w:hAnsi="Times New Roman" w:eastAsia="宋体" w:cs="Times New Roman"/>
                <w:szCs w:val="21"/>
              </w:rPr>
              <w:t xml:space="preserve"> (380nm～780nm)</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1842" w:type="dxa"/>
            <w:vMerge w:val="restart"/>
            <w:vAlign w:val="center"/>
          </w:tcPr>
          <w:p>
            <w:pPr>
              <w:snapToGrid w:val="0"/>
              <w:spacing w:line="440" w:lineRule="exact"/>
              <w:jc w:val="center"/>
              <w:rPr>
                <w:rFonts w:ascii="Times New Roman" w:hAnsi="Times New Roman" w:eastAsia="宋体" w:cs="Times New Roman"/>
                <w:kern w:val="0"/>
                <w:szCs w:val="21"/>
              </w:rPr>
            </w:pPr>
            <w:r>
              <w:rPr>
                <w:rFonts w:ascii="Times New Roman" w:hAnsi="Times New Roman" w:eastAsia="宋体" w:cs="Times New Roman"/>
                <w:szCs w:val="21"/>
              </w:rPr>
              <w:t>紫外光谱区透射比</w:t>
            </w:r>
          </w:p>
        </w:tc>
        <w:tc>
          <w:tcPr>
            <w:tcW w:w="24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τ</w:t>
            </w:r>
            <w:r>
              <w:rPr>
                <w:rFonts w:ascii="Times New Roman" w:hAnsi="Times New Roman" w:eastAsia="宋体" w:cs="Times New Roman"/>
                <w:szCs w:val="21"/>
                <w:vertAlign w:val="subscript"/>
              </w:rPr>
              <w:t>SUVA</w:t>
            </w:r>
            <w:r>
              <w:rPr>
                <w:rFonts w:ascii="Times New Roman" w:hAnsi="Times New Roman" w:eastAsia="宋体" w:cs="Times New Roman"/>
                <w:szCs w:val="21"/>
              </w:rPr>
              <w:t>（315 nm～380 nm）</w:t>
            </w:r>
          </w:p>
        </w:tc>
        <w:tc>
          <w:tcPr>
            <w:tcW w:w="2888"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Merge w:val="continue"/>
            <w:vAlign w:val="center"/>
          </w:tcPr>
          <w:p>
            <w:pPr>
              <w:spacing w:line="440" w:lineRule="exact"/>
              <w:jc w:val="center"/>
              <w:rPr>
                <w:rFonts w:ascii="Times New Roman" w:hAnsi="Times New Roman" w:eastAsia="宋体" w:cs="Times New Roman"/>
                <w:szCs w:val="21"/>
              </w:rPr>
            </w:pPr>
          </w:p>
        </w:tc>
        <w:tc>
          <w:tcPr>
            <w:tcW w:w="1842" w:type="dxa"/>
            <w:vMerge w:val="continue"/>
            <w:vAlign w:val="center"/>
          </w:tcPr>
          <w:p>
            <w:pPr>
              <w:spacing w:line="440" w:lineRule="exact"/>
              <w:jc w:val="center"/>
              <w:rPr>
                <w:rFonts w:ascii="Times New Roman" w:hAnsi="Times New Roman" w:eastAsia="宋体" w:cs="Times New Roman"/>
                <w:szCs w:val="21"/>
              </w:rPr>
            </w:pPr>
          </w:p>
        </w:tc>
        <w:tc>
          <w:tcPr>
            <w:tcW w:w="24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τ</w:t>
            </w:r>
            <w:r>
              <w:rPr>
                <w:rFonts w:ascii="Times New Roman" w:hAnsi="Times New Roman" w:eastAsia="宋体" w:cs="Times New Roman"/>
                <w:szCs w:val="21"/>
                <w:vertAlign w:val="subscript"/>
              </w:rPr>
              <w:t>SUVB</w:t>
            </w:r>
            <w:r>
              <w:rPr>
                <w:rFonts w:ascii="Times New Roman" w:hAnsi="Times New Roman" w:eastAsia="宋体" w:cs="Times New Roman"/>
                <w:szCs w:val="21"/>
              </w:rPr>
              <w:t>（280 nm～315 nm）</w:t>
            </w:r>
          </w:p>
        </w:tc>
        <w:tc>
          <w:tcPr>
            <w:tcW w:w="2888" w:type="dxa"/>
            <w:vMerge w:val="continue"/>
            <w:vAlign w:val="center"/>
          </w:tcPr>
          <w:p>
            <w:pPr>
              <w:spacing w:line="4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1842" w:type="dxa"/>
            <w:vMerge w:val="restart"/>
            <w:vAlign w:val="center"/>
          </w:tcPr>
          <w:p>
            <w:pPr>
              <w:snapToGrid w:val="0"/>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透射比的明示要求（明示指标）</w:t>
            </w: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蓝光透射比</w:t>
            </w:r>
            <w:r>
              <w:rPr>
                <w:rFonts w:ascii="Times New Roman" w:hAnsi="Times New Roman" w:eastAsia="宋体" w:cs="Times New Roman"/>
                <w:szCs w:val="21"/>
                <w:vertAlign w:val="superscript"/>
              </w:rPr>
              <w:t>a</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1842" w:type="dxa"/>
            <w:vMerge w:val="continue"/>
            <w:vAlign w:val="center"/>
          </w:tcPr>
          <w:p>
            <w:pPr>
              <w:spacing w:line="440" w:lineRule="exact"/>
              <w:jc w:val="center"/>
              <w:rPr>
                <w:rFonts w:ascii="Times New Roman" w:hAnsi="Times New Roman" w:eastAsia="宋体" w:cs="Times New Roman"/>
                <w:szCs w:val="21"/>
                <w:vertAlign w:val="superscript"/>
              </w:rPr>
            </w:pP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蓝光吸收率</w:t>
            </w:r>
            <w:r>
              <w:rPr>
                <w:rFonts w:ascii="Times New Roman" w:hAnsi="Times New Roman" w:eastAsia="宋体" w:cs="Times New Roman"/>
                <w:szCs w:val="21"/>
                <w:vertAlign w:val="superscript"/>
              </w:rPr>
              <w:t>a</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1842" w:type="dxa"/>
            <w:vMerge w:val="continue"/>
            <w:vAlign w:val="center"/>
          </w:tcPr>
          <w:p>
            <w:pPr>
              <w:spacing w:line="440" w:lineRule="exact"/>
              <w:jc w:val="center"/>
              <w:rPr>
                <w:rFonts w:ascii="Times New Roman" w:hAnsi="Times New Roman" w:eastAsia="宋体" w:cs="Times New Roman"/>
                <w:szCs w:val="21"/>
                <w:vertAlign w:val="superscript"/>
              </w:rPr>
            </w:pP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紫外透射比</w:t>
            </w:r>
            <w:r>
              <w:rPr>
                <w:rFonts w:ascii="Times New Roman" w:hAnsi="Times New Roman" w:eastAsia="宋体" w:cs="Times New Roman"/>
                <w:szCs w:val="21"/>
                <w:vertAlign w:val="superscript"/>
              </w:rPr>
              <w:t>a</w:t>
            </w:r>
          </w:p>
        </w:tc>
        <w:tc>
          <w:tcPr>
            <w:tcW w:w="288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1842" w:type="dxa"/>
            <w:vMerge w:val="continue"/>
            <w:vAlign w:val="center"/>
          </w:tcPr>
          <w:p>
            <w:pPr>
              <w:spacing w:line="440" w:lineRule="exact"/>
              <w:jc w:val="center"/>
              <w:rPr>
                <w:rFonts w:ascii="Times New Roman" w:hAnsi="Times New Roman" w:eastAsia="宋体" w:cs="Times New Roman"/>
                <w:szCs w:val="21"/>
                <w:vertAlign w:val="superscript"/>
              </w:rPr>
            </w:pP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紫外吸收率</w:t>
            </w:r>
            <w:r>
              <w:rPr>
                <w:rFonts w:ascii="Times New Roman" w:hAnsi="Times New Roman" w:eastAsia="宋体" w:cs="Times New Roman"/>
                <w:szCs w:val="21"/>
                <w:vertAlign w:val="superscript"/>
              </w:rPr>
              <w:t>a</w:t>
            </w:r>
          </w:p>
        </w:tc>
        <w:tc>
          <w:tcPr>
            <w:tcW w:w="288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1842" w:type="dxa"/>
            <w:vMerge w:val="continue"/>
            <w:vAlign w:val="center"/>
          </w:tcPr>
          <w:p>
            <w:pPr>
              <w:spacing w:line="440" w:lineRule="exact"/>
              <w:jc w:val="center"/>
              <w:rPr>
                <w:rFonts w:ascii="Times New Roman" w:hAnsi="Times New Roman" w:eastAsia="宋体" w:cs="Times New Roman"/>
                <w:szCs w:val="21"/>
              </w:rPr>
            </w:pPr>
          </w:p>
        </w:tc>
        <w:tc>
          <w:tcPr>
            <w:tcW w:w="24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紫外A波段透射比</w:t>
            </w:r>
            <w:r>
              <w:rPr>
                <w:rFonts w:ascii="Times New Roman" w:hAnsi="Times New Roman" w:eastAsia="宋体" w:cs="Times New Roman"/>
                <w:szCs w:val="21"/>
                <w:vertAlign w:val="superscript"/>
              </w:rPr>
              <w:t>a</w:t>
            </w:r>
          </w:p>
        </w:tc>
        <w:tc>
          <w:tcPr>
            <w:tcW w:w="2888" w:type="dxa"/>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11</w:t>
            </w:r>
          </w:p>
        </w:tc>
        <w:tc>
          <w:tcPr>
            <w:tcW w:w="1842" w:type="dxa"/>
            <w:vMerge w:val="continue"/>
            <w:vAlign w:val="center"/>
          </w:tcPr>
          <w:p>
            <w:pPr>
              <w:spacing w:line="440" w:lineRule="exact"/>
              <w:jc w:val="center"/>
              <w:rPr>
                <w:rFonts w:ascii="Times New Roman" w:hAnsi="Times New Roman" w:eastAsia="宋体" w:cs="Times New Roman"/>
                <w:szCs w:val="21"/>
                <w:vertAlign w:val="superscript"/>
              </w:rPr>
            </w:pP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紫外A波段吸收率</w:t>
            </w:r>
            <w:r>
              <w:rPr>
                <w:rFonts w:ascii="Times New Roman" w:hAnsi="Times New Roman" w:eastAsia="宋体" w:cs="Times New Roman"/>
                <w:szCs w:val="21"/>
                <w:vertAlign w:val="superscript"/>
              </w:rPr>
              <w:t>a</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12</w:t>
            </w:r>
          </w:p>
        </w:tc>
        <w:tc>
          <w:tcPr>
            <w:tcW w:w="1842" w:type="dxa"/>
            <w:vMerge w:val="continue"/>
            <w:vAlign w:val="center"/>
          </w:tcPr>
          <w:p>
            <w:pPr>
              <w:spacing w:line="440" w:lineRule="exact"/>
              <w:jc w:val="center"/>
              <w:rPr>
                <w:rFonts w:ascii="Times New Roman" w:hAnsi="Times New Roman" w:eastAsia="宋体" w:cs="Times New Roman"/>
                <w:szCs w:val="21"/>
              </w:rPr>
            </w:pPr>
          </w:p>
        </w:tc>
        <w:tc>
          <w:tcPr>
            <w:tcW w:w="24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紫外B波段透射比</w:t>
            </w:r>
            <w:r>
              <w:rPr>
                <w:rFonts w:ascii="Times New Roman" w:hAnsi="Times New Roman" w:eastAsia="宋体" w:cs="Times New Roman"/>
                <w:szCs w:val="21"/>
                <w:vertAlign w:val="superscript"/>
              </w:rPr>
              <w:t>a</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13</w:t>
            </w:r>
          </w:p>
        </w:tc>
        <w:tc>
          <w:tcPr>
            <w:tcW w:w="1842" w:type="dxa"/>
            <w:vMerge w:val="continue"/>
            <w:vAlign w:val="center"/>
          </w:tcPr>
          <w:p>
            <w:pPr>
              <w:spacing w:line="440" w:lineRule="exact"/>
              <w:jc w:val="center"/>
              <w:rPr>
                <w:rFonts w:ascii="Times New Roman" w:hAnsi="Times New Roman" w:eastAsia="宋体" w:cs="Times New Roman"/>
                <w:szCs w:val="21"/>
                <w:vertAlign w:val="superscript"/>
              </w:rPr>
            </w:pPr>
          </w:p>
        </w:tc>
        <w:tc>
          <w:tcPr>
            <w:tcW w:w="24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紫外B波段吸收率</w:t>
            </w:r>
            <w:r>
              <w:rPr>
                <w:rFonts w:ascii="Times New Roman" w:hAnsi="Times New Roman" w:eastAsia="宋体" w:cs="Times New Roman"/>
                <w:szCs w:val="21"/>
                <w:vertAlign w:val="superscript"/>
              </w:rPr>
              <w:t>a</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GB/T39552.2—2020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82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14</w:t>
            </w:r>
          </w:p>
        </w:tc>
        <w:tc>
          <w:tcPr>
            <w:tcW w:w="4252" w:type="dxa"/>
            <w:gridSpan w:val="2"/>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标志</w:t>
            </w:r>
          </w:p>
        </w:tc>
        <w:tc>
          <w:tcPr>
            <w:tcW w:w="288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 xml:space="preserve">  GB 39552.1—2020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tblHeader/>
          <w:jc w:val="center"/>
        </w:trPr>
        <w:tc>
          <w:tcPr>
            <w:tcW w:w="7961" w:type="dxa"/>
            <w:gridSpan w:val="4"/>
            <w:vAlign w:val="center"/>
          </w:tcPr>
          <w:p>
            <w:pPr>
              <w:spacing w:line="440" w:lineRule="exact"/>
              <w:ind w:firstLine="105" w:firstLineChars="50"/>
              <w:jc w:val="left"/>
              <w:rPr>
                <w:rFonts w:ascii="Times New Roman" w:hAnsi="Times New Roman" w:eastAsia="宋体" w:cs="Times New Roman"/>
                <w:szCs w:val="21"/>
              </w:rPr>
            </w:pPr>
            <w:r>
              <w:rPr>
                <w:rFonts w:ascii="Times New Roman" w:hAnsi="Times New Roman" w:eastAsia="宋体" w:cs="Times New Roman"/>
                <w:szCs w:val="21"/>
                <w:vertAlign w:val="superscript"/>
              </w:rPr>
              <w:t>a</w:t>
            </w:r>
            <w:r>
              <w:rPr>
                <w:rFonts w:ascii="Times New Roman" w:hAnsi="Times New Roman" w:eastAsia="宋体" w:cs="Times New Roman"/>
                <w:szCs w:val="21"/>
              </w:rPr>
              <w:t>明示性能试验。</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注：</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1 表中所列检验项目是有关法律法规、标准等规定的，重点涉及健康、安全、节能、环保以及消费者、有关组织反映有质量问题的重要项目。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2 检验方法包括相关产品标准及试验方法标准。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4 执行企业标准、团体标准、地方标准的产品，检验项目参照上述内容执行。</w:t>
      </w:r>
    </w:p>
    <w:p>
      <w:pPr>
        <w:spacing w:line="440" w:lineRule="exact"/>
        <w:rPr>
          <w:rFonts w:ascii="Times New Roman" w:hAnsi="Times New Roman" w:eastAsia="黑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bookmarkStart w:id="2" w:name="_GoBack"/>
      <w:bookmarkEnd w:id="2"/>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7"/>
                </w:pPr>
                <w:r>
                  <w:fldChar w:fldCharType="begin"/>
                </w:r>
                <w:r>
                  <w:instrText xml:space="preserve"> PAGE  \* MERGEFORMAT </w:instrText>
                </w:r>
                <w:r>
                  <w:fldChar w:fldCharType="separate"/>
                </w:r>
                <w:r>
                  <w:t>5</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2B104F"/>
    <w:rsid w:val="0004502A"/>
    <w:rsid w:val="000C1231"/>
    <w:rsid w:val="000C2774"/>
    <w:rsid w:val="000D3EF8"/>
    <w:rsid w:val="00104AB2"/>
    <w:rsid w:val="001065C7"/>
    <w:rsid w:val="00144BBD"/>
    <w:rsid w:val="00162EF2"/>
    <w:rsid w:val="00194CCF"/>
    <w:rsid w:val="00201EF6"/>
    <w:rsid w:val="00234108"/>
    <w:rsid w:val="002878E9"/>
    <w:rsid w:val="002906B4"/>
    <w:rsid w:val="002B104F"/>
    <w:rsid w:val="002B1453"/>
    <w:rsid w:val="002B4E37"/>
    <w:rsid w:val="002B7F10"/>
    <w:rsid w:val="002C0D20"/>
    <w:rsid w:val="002C0EBF"/>
    <w:rsid w:val="002F1EE1"/>
    <w:rsid w:val="003100BC"/>
    <w:rsid w:val="00322440"/>
    <w:rsid w:val="00340DEC"/>
    <w:rsid w:val="0036297D"/>
    <w:rsid w:val="003850FD"/>
    <w:rsid w:val="003D5CCF"/>
    <w:rsid w:val="004020E5"/>
    <w:rsid w:val="00421769"/>
    <w:rsid w:val="004562ED"/>
    <w:rsid w:val="00496CB5"/>
    <w:rsid w:val="004A3429"/>
    <w:rsid w:val="004B0E3F"/>
    <w:rsid w:val="004E2B65"/>
    <w:rsid w:val="0052334B"/>
    <w:rsid w:val="005539DA"/>
    <w:rsid w:val="00560DDD"/>
    <w:rsid w:val="0056629F"/>
    <w:rsid w:val="00627E17"/>
    <w:rsid w:val="00656CB7"/>
    <w:rsid w:val="00704760"/>
    <w:rsid w:val="007058E5"/>
    <w:rsid w:val="00735768"/>
    <w:rsid w:val="00740A13"/>
    <w:rsid w:val="007A46A5"/>
    <w:rsid w:val="007B7544"/>
    <w:rsid w:val="00802B6A"/>
    <w:rsid w:val="00806211"/>
    <w:rsid w:val="008151FE"/>
    <w:rsid w:val="00857227"/>
    <w:rsid w:val="008804A5"/>
    <w:rsid w:val="008B4A9C"/>
    <w:rsid w:val="008F4A3D"/>
    <w:rsid w:val="00927FAE"/>
    <w:rsid w:val="00983697"/>
    <w:rsid w:val="0099365B"/>
    <w:rsid w:val="009A1FE7"/>
    <w:rsid w:val="009A260A"/>
    <w:rsid w:val="009A61C6"/>
    <w:rsid w:val="009D3EB8"/>
    <w:rsid w:val="009E40B6"/>
    <w:rsid w:val="00A0089E"/>
    <w:rsid w:val="00A728E4"/>
    <w:rsid w:val="00A907C2"/>
    <w:rsid w:val="00B6147C"/>
    <w:rsid w:val="00B84780"/>
    <w:rsid w:val="00BC3D27"/>
    <w:rsid w:val="00BF369E"/>
    <w:rsid w:val="00BF6AD2"/>
    <w:rsid w:val="00C0368F"/>
    <w:rsid w:val="00C0656B"/>
    <w:rsid w:val="00C07606"/>
    <w:rsid w:val="00C13368"/>
    <w:rsid w:val="00C25103"/>
    <w:rsid w:val="00C273D3"/>
    <w:rsid w:val="00C469EE"/>
    <w:rsid w:val="00C60C49"/>
    <w:rsid w:val="00C80FC3"/>
    <w:rsid w:val="00C97D78"/>
    <w:rsid w:val="00CB0D2C"/>
    <w:rsid w:val="00CC696D"/>
    <w:rsid w:val="00CF2902"/>
    <w:rsid w:val="00CF30DB"/>
    <w:rsid w:val="00D07D36"/>
    <w:rsid w:val="00D1664B"/>
    <w:rsid w:val="00D82259"/>
    <w:rsid w:val="00D90A65"/>
    <w:rsid w:val="00DF609A"/>
    <w:rsid w:val="00E0155B"/>
    <w:rsid w:val="00E1446B"/>
    <w:rsid w:val="00E47381"/>
    <w:rsid w:val="00E54F1A"/>
    <w:rsid w:val="00E815DE"/>
    <w:rsid w:val="00E87FCA"/>
    <w:rsid w:val="00E916DB"/>
    <w:rsid w:val="00EA000A"/>
    <w:rsid w:val="00EE3123"/>
    <w:rsid w:val="00F31790"/>
    <w:rsid w:val="00F748C4"/>
    <w:rsid w:val="00F80CAF"/>
    <w:rsid w:val="00F8375F"/>
    <w:rsid w:val="00F97831"/>
    <w:rsid w:val="00FF26C5"/>
    <w:rsid w:val="00FF5B4E"/>
    <w:rsid w:val="017B7436"/>
    <w:rsid w:val="03092820"/>
    <w:rsid w:val="03354356"/>
    <w:rsid w:val="03B60BF9"/>
    <w:rsid w:val="04BA0D70"/>
    <w:rsid w:val="04C42EA2"/>
    <w:rsid w:val="04D83B6A"/>
    <w:rsid w:val="055C0FAB"/>
    <w:rsid w:val="07391925"/>
    <w:rsid w:val="09D35BF6"/>
    <w:rsid w:val="0A577EA6"/>
    <w:rsid w:val="0AFE344A"/>
    <w:rsid w:val="0C6531BD"/>
    <w:rsid w:val="0C7F12F7"/>
    <w:rsid w:val="0CCF38FF"/>
    <w:rsid w:val="0DEE56BA"/>
    <w:rsid w:val="0FE31B58"/>
    <w:rsid w:val="1037379A"/>
    <w:rsid w:val="106E264D"/>
    <w:rsid w:val="115A63CB"/>
    <w:rsid w:val="118A13C5"/>
    <w:rsid w:val="11BA57FF"/>
    <w:rsid w:val="120237D7"/>
    <w:rsid w:val="13AC4B87"/>
    <w:rsid w:val="15C2502C"/>
    <w:rsid w:val="16E66CA8"/>
    <w:rsid w:val="1ADE6BE3"/>
    <w:rsid w:val="1C2F094C"/>
    <w:rsid w:val="1C98639D"/>
    <w:rsid w:val="1EFF4DAB"/>
    <w:rsid w:val="20CC7DDB"/>
    <w:rsid w:val="21D44790"/>
    <w:rsid w:val="23C02279"/>
    <w:rsid w:val="24683B8E"/>
    <w:rsid w:val="25796649"/>
    <w:rsid w:val="293B1047"/>
    <w:rsid w:val="2A2658E2"/>
    <w:rsid w:val="2DC810BF"/>
    <w:rsid w:val="2DDE357F"/>
    <w:rsid w:val="2F5514A4"/>
    <w:rsid w:val="31B22151"/>
    <w:rsid w:val="321B1AA4"/>
    <w:rsid w:val="321B766A"/>
    <w:rsid w:val="321D1044"/>
    <w:rsid w:val="32997EC6"/>
    <w:rsid w:val="341B4A8C"/>
    <w:rsid w:val="35126805"/>
    <w:rsid w:val="35352E7D"/>
    <w:rsid w:val="36DF1167"/>
    <w:rsid w:val="3B037579"/>
    <w:rsid w:val="3B2F036E"/>
    <w:rsid w:val="3B4A51A8"/>
    <w:rsid w:val="3C482015"/>
    <w:rsid w:val="3CF61143"/>
    <w:rsid w:val="3CF74EBC"/>
    <w:rsid w:val="3D18555E"/>
    <w:rsid w:val="3D211F38"/>
    <w:rsid w:val="3D7E1C21"/>
    <w:rsid w:val="3FC87482"/>
    <w:rsid w:val="408C5260"/>
    <w:rsid w:val="43BE1B82"/>
    <w:rsid w:val="43E010AB"/>
    <w:rsid w:val="452A328D"/>
    <w:rsid w:val="486A7600"/>
    <w:rsid w:val="488937B4"/>
    <w:rsid w:val="492564C6"/>
    <w:rsid w:val="4A1E1CDA"/>
    <w:rsid w:val="4B097BF2"/>
    <w:rsid w:val="4E1F1EAC"/>
    <w:rsid w:val="4ED6366F"/>
    <w:rsid w:val="506A1724"/>
    <w:rsid w:val="518C7E71"/>
    <w:rsid w:val="53240614"/>
    <w:rsid w:val="54696247"/>
    <w:rsid w:val="549B217C"/>
    <w:rsid w:val="54E029AD"/>
    <w:rsid w:val="55A41C2D"/>
    <w:rsid w:val="5A23076E"/>
    <w:rsid w:val="5B3648CE"/>
    <w:rsid w:val="5B7D11B9"/>
    <w:rsid w:val="61842912"/>
    <w:rsid w:val="62E018F9"/>
    <w:rsid w:val="64DB373E"/>
    <w:rsid w:val="650C50F9"/>
    <w:rsid w:val="65173091"/>
    <w:rsid w:val="66487045"/>
    <w:rsid w:val="667A42E4"/>
    <w:rsid w:val="66867883"/>
    <w:rsid w:val="66B54875"/>
    <w:rsid w:val="69B1626F"/>
    <w:rsid w:val="6A9E5F94"/>
    <w:rsid w:val="6B4D2A2F"/>
    <w:rsid w:val="6CA721E1"/>
    <w:rsid w:val="6CD82687"/>
    <w:rsid w:val="6CE87DC7"/>
    <w:rsid w:val="6D4274C8"/>
    <w:rsid w:val="6D445FFE"/>
    <w:rsid w:val="6EBA3E17"/>
    <w:rsid w:val="6EF07839"/>
    <w:rsid w:val="6F40431D"/>
    <w:rsid w:val="708A2EF1"/>
    <w:rsid w:val="70CF59C3"/>
    <w:rsid w:val="72B27B5F"/>
    <w:rsid w:val="737E4439"/>
    <w:rsid w:val="73B92623"/>
    <w:rsid w:val="749B7A5D"/>
    <w:rsid w:val="75014A1B"/>
    <w:rsid w:val="76F140CA"/>
    <w:rsid w:val="772462D2"/>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99" w:semiHidden="0" w:name="Normal Indent"/>
    <w:lsdException w:uiPriority="0" w:name="footnote text"/>
    <w:lsdException w:qFormat="1" w:uiPriority="0" w:name="annotation text"/>
    <w:lsdException w:qFormat="1" w:uiPriority="0" w:semiHidden="0" w:name="header"/>
    <w:lsdException w:qFormat="1"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qFormat="1"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link w:val="19"/>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21"/>
    <w:semiHidden/>
    <w:unhideWhenUsed/>
    <w:qFormat/>
    <w:uiPriority w:val="0"/>
    <w:pPr>
      <w:jc w:val="left"/>
    </w:pPr>
  </w:style>
  <w:style w:type="paragraph" w:styleId="5">
    <w:name w:val="Plain Text"/>
    <w:basedOn w:val="1"/>
    <w:unhideWhenUsed/>
    <w:qFormat/>
    <w:uiPriority w:val="99"/>
    <w:rPr>
      <w:rFonts w:ascii="宋体" w:hAnsi="Courier New" w:eastAsia="宋体" w:cs="Times New Roman"/>
      <w:kern w:val="0"/>
      <w:sz w:val="20"/>
      <w:szCs w:val="20"/>
    </w:rPr>
  </w:style>
  <w:style w:type="paragraph" w:styleId="6">
    <w:name w:val="Balloon Text"/>
    <w:basedOn w:val="1"/>
    <w:link w:val="23"/>
    <w:semiHidden/>
    <w:unhideWhenUsed/>
    <w:qFormat/>
    <w:uiPriority w:val="0"/>
    <w:rPr>
      <w:sz w:val="18"/>
      <w:szCs w:val="18"/>
    </w:rPr>
  </w:style>
  <w:style w:type="paragraph" w:styleId="7">
    <w:name w:val="footer"/>
    <w:basedOn w:val="1"/>
    <w:link w:val="25"/>
    <w:unhideWhenUsed/>
    <w:qFormat/>
    <w:uiPriority w:val="0"/>
    <w:pPr>
      <w:tabs>
        <w:tab w:val="center" w:pos="4153"/>
        <w:tab w:val="right" w:pos="8306"/>
      </w:tabs>
      <w:snapToGrid w:val="0"/>
      <w:jc w:val="left"/>
    </w:pPr>
    <w:rPr>
      <w:sz w:val="18"/>
      <w:szCs w:val="18"/>
    </w:rPr>
  </w:style>
  <w:style w:type="paragraph" w:styleId="8">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4"/>
    <w:next w:val="4"/>
    <w:link w:val="22"/>
    <w:semiHidden/>
    <w:unhideWhenUsed/>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22"/>
    <w:rPr>
      <w:b/>
      <w:bCs/>
    </w:rPr>
  </w:style>
  <w:style w:type="character" w:styleId="14">
    <w:name w:val="annotation reference"/>
    <w:basedOn w:val="12"/>
    <w:semiHidden/>
    <w:unhideWhenUsed/>
    <w:qFormat/>
    <w:uiPriority w:val="0"/>
    <w:rPr>
      <w:sz w:val="21"/>
      <w:szCs w:val="21"/>
    </w:rPr>
  </w:style>
  <w:style w:type="character" w:customStyle="1" w:styleId="15">
    <w:name w:val="正文11 Char"/>
    <w:basedOn w:val="12"/>
    <w:link w:val="16"/>
    <w:qFormat/>
    <w:uiPriority w:val="0"/>
    <w:rPr>
      <w:rFonts w:ascii="宋体" w:hAnsi="宋体"/>
      <w:kern w:val="2"/>
      <w:sz w:val="21"/>
      <w:szCs w:val="21"/>
    </w:rPr>
  </w:style>
  <w:style w:type="paragraph" w:customStyle="1" w:styleId="16">
    <w:name w:val="正文11"/>
    <w:basedOn w:val="1"/>
    <w:link w:val="15"/>
    <w:qFormat/>
    <w:uiPriority w:val="0"/>
    <w:pPr>
      <w:spacing w:line="440" w:lineRule="exact"/>
      <w:ind w:firstLine="200" w:firstLineChars="200"/>
      <w:jc w:val="left"/>
    </w:pPr>
    <w:rPr>
      <w:rFonts w:ascii="宋体" w:hAnsi="宋体" w:eastAsia="宋体" w:cs="Times New Roman"/>
      <w:szCs w:val="21"/>
    </w:rPr>
  </w:style>
  <w:style w:type="character" w:customStyle="1" w:styleId="17">
    <w:name w:val="7 Char"/>
    <w:basedOn w:val="12"/>
    <w:link w:val="18"/>
    <w:qFormat/>
    <w:uiPriority w:val="0"/>
    <w:rPr>
      <w:rFonts w:ascii="黑体" w:hAnsi="黑体" w:eastAsia="黑体"/>
      <w:b/>
      <w:kern w:val="2"/>
      <w:sz w:val="21"/>
      <w:szCs w:val="21"/>
    </w:rPr>
  </w:style>
  <w:style w:type="paragraph" w:customStyle="1" w:styleId="18">
    <w:name w:val="7"/>
    <w:basedOn w:val="1"/>
    <w:link w:val="17"/>
    <w:qFormat/>
    <w:uiPriority w:val="0"/>
    <w:pPr>
      <w:spacing w:line="440" w:lineRule="exact"/>
      <w:jc w:val="left"/>
    </w:pPr>
    <w:rPr>
      <w:rFonts w:ascii="黑体" w:hAnsi="黑体" w:eastAsia="黑体" w:cs="Times New Roman"/>
      <w:b/>
      <w:szCs w:val="21"/>
    </w:rPr>
  </w:style>
  <w:style w:type="character" w:customStyle="1" w:styleId="19">
    <w:name w:val="标题 3 Char"/>
    <w:basedOn w:val="12"/>
    <w:link w:val="2"/>
    <w:qFormat/>
    <w:uiPriority w:val="9"/>
    <w:rPr>
      <w:rFonts w:ascii="宋体" w:hAnsi="宋体" w:cs="宋体"/>
      <w:b/>
      <w:bCs/>
      <w:sz w:val="27"/>
      <w:szCs w:val="27"/>
    </w:rPr>
  </w:style>
  <w:style w:type="paragraph" w:customStyle="1" w:styleId="20">
    <w:name w:val="Char"/>
    <w:basedOn w:val="1"/>
    <w:qFormat/>
    <w:uiPriority w:val="0"/>
    <w:pPr>
      <w:widowControl/>
      <w:spacing w:after="160" w:line="240" w:lineRule="exact"/>
      <w:jc w:val="left"/>
    </w:pPr>
    <w:rPr>
      <w:rFonts w:ascii="Verdana" w:hAnsi="Verdana" w:eastAsia="宋体" w:cs="Times New Roman"/>
      <w:kern w:val="0"/>
      <w:sz w:val="18"/>
      <w:szCs w:val="20"/>
      <w:lang w:eastAsia="en-US"/>
    </w:rPr>
  </w:style>
  <w:style w:type="character" w:customStyle="1" w:styleId="21">
    <w:name w:val="批注文字 Char"/>
    <w:basedOn w:val="12"/>
    <w:link w:val="4"/>
    <w:semiHidden/>
    <w:qFormat/>
    <w:uiPriority w:val="0"/>
    <w:rPr>
      <w:rFonts w:asciiTheme="minorHAnsi" w:hAnsiTheme="minorHAnsi" w:eastAsiaTheme="minorEastAsia" w:cstheme="minorBidi"/>
      <w:kern w:val="2"/>
      <w:sz w:val="21"/>
      <w:szCs w:val="24"/>
    </w:rPr>
  </w:style>
  <w:style w:type="character" w:customStyle="1" w:styleId="22">
    <w:name w:val="批注主题 Char"/>
    <w:basedOn w:val="21"/>
    <w:link w:val="9"/>
    <w:semiHidden/>
    <w:qFormat/>
    <w:uiPriority w:val="0"/>
    <w:rPr>
      <w:rFonts w:asciiTheme="minorHAnsi" w:hAnsiTheme="minorHAnsi" w:eastAsiaTheme="minorEastAsia" w:cstheme="minorBidi"/>
      <w:b/>
      <w:bCs/>
      <w:kern w:val="2"/>
      <w:sz w:val="21"/>
      <w:szCs w:val="24"/>
    </w:rPr>
  </w:style>
  <w:style w:type="character" w:customStyle="1" w:styleId="23">
    <w:name w:val="批注框文本 Char"/>
    <w:basedOn w:val="12"/>
    <w:link w:val="6"/>
    <w:semiHidden/>
    <w:qFormat/>
    <w:uiPriority w:val="0"/>
    <w:rPr>
      <w:rFonts w:asciiTheme="minorHAnsi" w:hAnsiTheme="minorHAnsi" w:eastAsiaTheme="minorEastAsia" w:cstheme="minorBidi"/>
      <w:kern w:val="2"/>
      <w:sz w:val="18"/>
      <w:szCs w:val="18"/>
    </w:rPr>
  </w:style>
  <w:style w:type="character" w:customStyle="1" w:styleId="24">
    <w:name w:val="页眉 Char"/>
    <w:basedOn w:val="12"/>
    <w:link w:val="8"/>
    <w:qFormat/>
    <w:uiPriority w:val="0"/>
    <w:rPr>
      <w:rFonts w:asciiTheme="minorHAnsi" w:hAnsiTheme="minorHAnsi" w:eastAsiaTheme="minorEastAsia" w:cstheme="minorBidi"/>
      <w:kern w:val="2"/>
      <w:sz w:val="18"/>
      <w:szCs w:val="18"/>
    </w:rPr>
  </w:style>
  <w:style w:type="character" w:customStyle="1" w:styleId="25">
    <w:name w:val="页脚 Char"/>
    <w:basedOn w:val="12"/>
    <w:link w:val="7"/>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48645B-054C-4835-93F4-4F47DF0E3BA2}">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2436</Words>
  <Characters>2989</Characters>
  <Lines>23</Lines>
  <Paragraphs>6</Paragraphs>
  <TotalTime>0</TotalTime>
  <ScaleCrop>false</ScaleCrop>
  <LinksUpToDate>false</LinksUpToDate>
  <CharactersWithSpaces>3066</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2022-04-20T02:38:24Z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